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line="580" w:lineRule="exact"/>
        <w:ind w:firstLine="0" w:firstLineChars="0"/>
        <w:jc w:val="left"/>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w:t>
      </w:r>
    </w:p>
    <w:p>
      <w:pPr>
        <w:snapToGrid w:val="0"/>
        <w:spacing w:before="120" w:line="580" w:lineRule="exact"/>
        <w:ind w:firstLine="0" w:firstLineChars="0"/>
        <w:jc w:val="left"/>
        <w:rPr>
          <w:rFonts w:hint="default" w:ascii="黑体" w:hAnsi="黑体" w:eastAsia="黑体" w:cs="黑体"/>
          <w:b w:val="0"/>
          <w:bCs/>
          <w:sz w:val="32"/>
          <w:szCs w:val="32"/>
          <w:highlight w:val="none"/>
          <w:lang w:val="en-US" w:eastAsia="zh-CN"/>
        </w:rPr>
      </w:pPr>
    </w:p>
    <w:p>
      <w:pPr>
        <w:snapToGrid w:val="0"/>
        <w:spacing w:before="120" w:line="580" w:lineRule="exact"/>
        <w:ind w:firstLine="0" w:firstLineChars="0"/>
        <w:jc w:val="center"/>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海南</w:t>
      </w:r>
      <w:r>
        <w:rPr>
          <w:rFonts w:hint="eastAsia" w:ascii="方正小标宋简体" w:hAnsi="方正小标宋简体" w:eastAsia="方正小标宋简体" w:cs="方正小标宋简体"/>
          <w:b w:val="0"/>
          <w:bCs/>
          <w:sz w:val="44"/>
          <w:szCs w:val="44"/>
          <w:highlight w:val="none"/>
          <w:lang w:val="en-US" w:eastAsia="zh-CN"/>
        </w:rPr>
        <w:t>金财网络技术有限公司</w:t>
      </w:r>
      <w:r>
        <w:rPr>
          <w:rFonts w:hint="eastAsia" w:ascii="Times New Roman" w:hAnsi="Times New Roman" w:eastAsia="方正小标宋简体" w:cs="方正小标宋简体"/>
          <w:b w:val="0"/>
          <w:bCs/>
          <w:sz w:val="44"/>
          <w:szCs w:val="44"/>
          <w:highlight w:val="none"/>
          <w:lang w:val="en-US" w:eastAsia="zh-CN"/>
        </w:rPr>
        <w:t>2025</w:t>
      </w:r>
      <w:r>
        <w:rPr>
          <w:rFonts w:hint="eastAsia" w:ascii="方正小标宋简体" w:hAnsi="方正小标宋简体" w:eastAsia="方正小标宋简体" w:cs="方正小标宋简体"/>
          <w:b w:val="0"/>
          <w:bCs/>
          <w:sz w:val="44"/>
          <w:szCs w:val="44"/>
          <w:highlight w:val="none"/>
          <w:lang w:val="en-US" w:eastAsia="zh-CN"/>
        </w:rPr>
        <w:t>年度内部管理制度体系优化</w:t>
      </w:r>
      <w:r>
        <w:rPr>
          <w:rFonts w:hint="eastAsia" w:ascii="方正小标宋简体" w:hAnsi="方正小标宋简体" w:eastAsia="方正小标宋简体" w:cs="方正小标宋简体"/>
          <w:b w:val="0"/>
          <w:bCs/>
          <w:sz w:val="44"/>
          <w:szCs w:val="44"/>
          <w:highlight w:val="none"/>
          <w:lang w:eastAsia="zh-CN"/>
        </w:rPr>
        <w:t>项目磋商文件</w:t>
      </w:r>
    </w:p>
    <w:p>
      <w:pPr>
        <w:snapToGrid w:val="0"/>
        <w:spacing w:before="120" w:line="580" w:lineRule="exact"/>
        <w:ind w:firstLine="0" w:firstLineChars="0"/>
        <w:jc w:val="center"/>
        <w:rPr>
          <w:rFonts w:hint="eastAsia" w:ascii="宋体" w:hAnsi="宋体" w:eastAsia="宋体" w:cs="宋体"/>
          <w:b/>
          <w:sz w:val="44"/>
          <w:szCs w:val="44"/>
          <w:highlight w:val="none"/>
          <w:lang w:eastAsia="zh-CN"/>
        </w:rPr>
      </w:pPr>
    </w:p>
    <w:p>
      <w:pPr>
        <w:keepNext w:val="0"/>
        <w:keepLines w:val="0"/>
        <w:pageBreakBefore w:val="0"/>
        <w:widowControl w:val="0"/>
        <w:wordWrap/>
        <w:overflowPunct/>
        <w:topLinePunct w:val="0"/>
        <w:bidi w:val="0"/>
        <w:adjustRightInd w:val="0"/>
        <w:snapToGrid w:val="0"/>
        <w:spacing w:after="0" w:line="578" w:lineRule="exact"/>
        <w:ind w:firstLine="420" w:firstLineChars="0"/>
        <w:jc w:val="both"/>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一、项目基本情况</w:t>
      </w:r>
    </w:p>
    <w:p>
      <w:pPr>
        <w:keepNext w:val="0"/>
        <w:keepLines w:val="0"/>
        <w:pageBreakBefore w:val="0"/>
        <w:widowControl w:val="0"/>
        <w:wordWrap/>
        <w:overflowPunct/>
        <w:topLinePunct w:val="0"/>
        <w:bidi w:val="0"/>
        <w:adjustRightInd w:val="0"/>
        <w:snapToGrid w:val="0"/>
        <w:spacing w:line="578" w:lineRule="exact"/>
        <w:ind w:firstLine="420" w:firstLineChars="0"/>
        <w:jc w:val="both"/>
        <w:rPr>
          <w:rFonts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val="zh-TW" w:eastAsia="zh-CN"/>
        </w:rPr>
        <w:t>（一）</w:t>
      </w:r>
      <w:r>
        <w:rPr>
          <w:rFonts w:hint="eastAsia" w:ascii="楷体_GB2312" w:hAnsi="楷体_GB2312" w:eastAsia="楷体_GB2312" w:cs="楷体_GB2312"/>
          <w:b/>
          <w:bCs/>
          <w:sz w:val="32"/>
          <w:szCs w:val="32"/>
          <w:highlight w:val="none"/>
          <w:lang w:eastAsia="zh-CN"/>
        </w:rPr>
        <w:t>项目名称</w:t>
      </w:r>
    </w:p>
    <w:p>
      <w:pPr>
        <w:keepNext w:val="0"/>
        <w:keepLines w:val="0"/>
        <w:pageBreakBefore w:val="0"/>
        <w:wordWrap/>
        <w:overflowPunct/>
        <w:topLinePunct w:val="0"/>
        <w:bidi w:val="0"/>
        <w:snapToGrid w:val="0"/>
        <w:spacing w:after="0" w:line="578" w:lineRule="exact"/>
        <w:ind w:firstLine="640"/>
        <w:contextualSpacing/>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海南</w:t>
      </w:r>
      <w:r>
        <w:rPr>
          <w:rFonts w:hint="eastAsia" w:ascii="仿宋_GB2312" w:hAnsi="仿宋_GB2312" w:cs="仿宋_GB2312"/>
          <w:sz w:val="32"/>
          <w:szCs w:val="32"/>
          <w:highlight w:val="none"/>
          <w:lang w:val="en-US" w:eastAsia="zh-CN"/>
        </w:rPr>
        <w:t>金财网络</w:t>
      </w:r>
      <w:r>
        <w:rPr>
          <w:rFonts w:hint="eastAsia" w:ascii="仿宋_GB2312" w:hAnsi="仿宋_GB2312" w:cs="仿宋_GB2312"/>
          <w:sz w:val="32"/>
          <w:szCs w:val="32"/>
          <w:highlight w:val="none"/>
          <w:lang w:eastAsia="zh-CN"/>
        </w:rPr>
        <w:t>技术有限公司</w:t>
      </w:r>
      <w:r>
        <w:rPr>
          <w:rFonts w:hint="eastAsia" w:ascii="Times New Roman" w:hAnsi="Times New Roman" w:cs="仿宋_GB2312"/>
          <w:sz w:val="32"/>
          <w:szCs w:val="32"/>
          <w:highlight w:val="none"/>
          <w:lang w:val="en-US" w:eastAsia="zh-CN"/>
        </w:rPr>
        <w:t>2025</w:t>
      </w:r>
      <w:r>
        <w:rPr>
          <w:rFonts w:hint="eastAsia" w:ascii="仿宋_GB2312" w:hAnsi="仿宋_GB2312" w:cs="仿宋_GB2312"/>
          <w:sz w:val="32"/>
          <w:szCs w:val="32"/>
          <w:highlight w:val="none"/>
          <w:lang w:val="en-US" w:eastAsia="zh-CN"/>
        </w:rPr>
        <w:t>年度内部管理制度体系优化项目(项目编号：</w:t>
      </w:r>
      <w:r>
        <w:rPr>
          <w:rFonts w:hint="eastAsia" w:ascii="Times New Roman" w:hAnsi="Times New Roman" w:cs="仿宋_GB2312"/>
          <w:sz w:val="32"/>
          <w:szCs w:val="32"/>
          <w:highlight w:val="none"/>
          <w:lang w:val="en-US" w:eastAsia="zh-CN"/>
        </w:rPr>
        <w:t>JC202509</w:t>
      </w:r>
      <w:r>
        <w:rPr>
          <w:rFonts w:hint="eastAsia" w:ascii="仿宋_GB2312" w:hAnsi="仿宋_GB2312" w:cs="仿宋_GB2312"/>
          <w:sz w:val="32"/>
          <w:szCs w:val="32"/>
          <w:highlight w:val="none"/>
          <w:lang w:val="en-US" w:eastAsia="zh-CN"/>
        </w:rPr>
        <w:t>）。</w:t>
      </w:r>
    </w:p>
    <w:p>
      <w:pPr>
        <w:keepNext w:val="0"/>
        <w:keepLines w:val="0"/>
        <w:pageBreakBefore w:val="0"/>
        <w:widowControl w:val="0"/>
        <w:wordWrap/>
        <w:overflowPunct/>
        <w:topLinePunct w:val="0"/>
        <w:bidi w:val="0"/>
        <w:adjustRightInd w:val="0"/>
        <w:snapToGrid w:val="0"/>
        <w:spacing w:line="578" w:lineRule="exact"/>
        <w:ind w:firstLine="420" w:firstLineChars="0"/>
        <w:jc w:val="both"/>
        <w:rPr>
          <w:rFonts w:hint="eastAsia" w:ascii="楷体_GB2312" w:hAnsi="楷体_GB2312" w:eastAsia="楷体_GB2312" w:cs="楷体_GB2312"/>
          <w:b/>
          <w:bCs/>
          <w:sz w:val="32"/>
          <w:szCs w:val="32"/>
          <w:highlight w:val="none"/>
          <w:lang w:val="zh-TW" w:eastAsia="zh-CN"/>
        </w:rPr>
      </w:pPr>
      <w:r>
        <w:rPr>
          <w:rFonts w:hint="eastAsia" w:ascii="楷体_GB2312" w:hAnsi="楷体_GB2312" w:eastAsia="楷体_GB2312" w:cs="楷体_GB2312"/>
          <w:b/>
          <w:bCs/>
          <w:sz w:val="32"/>
          <w:szCs w:val="32"/>
          <w:highlight w:val="none"/>
          <w:lang w:val="zh-TW" w:eastAsia="zh-CN"/>
        </w:rPr>
        <w:t>（二）采购人简介</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海南金财网络技术有限公司（以下简称“金财公司”）于</w:t>
      </w:r>
      <w:r>
        <w:rPr>
          <w:rFonts w:hint="eastAsia" w:ascii="Times New Roman" w:hAnsi="Times New Roman" w:eastAsia="仿宋_GB2312" w:cs="仿宋_GB2312"/>
          <w:sz w:val="32"/>
          <w:szCs w:val="32"/>
          <w:highlight w:val="none"/>
          <w:lang w:val="en-US" w:eastAsia="zh-CN" w:bidi="ar-SA"/>
        </w:rPr>
        <w:t>2003</w:t>
      </w:r>
      <w:r>
        <w:rPr>
          <w:rFonts w:hint="eastAsia" w:ascii="仿宋_GB2312" w:hAnsi="仿宋_GB2312" w:eastAsia="仿宋_GB2312" w:cs="仿宋_GB2312"/>
          <w:sz w:val="32"/>
          <w:szCs w:val="32"/>
          <w:highlight w:val="none"/>
          <w:lang w:val="en-US" w:eastAsia="zh-CN" w:bidi="ar-SA"/>
        </w:rPr>
        <w:t>年成立，为海南省财政厅下属专注服务于财政领域信息化、数字化的国有独资高科技企业，主营业务为预算管理一体化系统相关开发和实施运维。</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金财公司先后自主开发海南财政管理信息系统、财政预算管理一体化等系统，实现了海南省金财工程“一体化平台、大集中部署、自主研发支撑、自行运维管理”的目标，业务覆盖海南省各级财政以及</w:t>
      </w:r>
      <w:r>
        <w:rPr>
          <w:rFonts w:hint="eastAsia" w:ascii="Times New Roman" w:hAnsi="Times New Roman" w:eastAsia="仿宋_GB2312" w:cs="仿宋_GB2312"/>
          <w:sz w:val="32"/>
          <w:szCs w:val="32"/>
          <w:highlight w:val="none"/>
          <w:lang w:val="en-US" w:eastAsia="zh-CN" w:bidi="ar-SA"/>
        </w:rPr>
        <w:t>5</w:t>
      </w:r>
      <w:r>
        <w:rPr>
          <w:rFonts w:hint="eastAsia" w:ascii="仿宋_GB2312" w:hAnsi="仿宋_GB2312" w:eastAsia="仿宋_GB2312" w:cs="仿宋_GB2312"/>
          <w:sz w:val="32"/>
          <w:szCs w:val="32"/>
          <w:highlight w:val="none"/>
          <w:lang w:val="en-US" w:eastAsia="zh-CN" w:bidi="ar-SA"/>
        </w:rPr>
        <w:t>个省（直辖市、自治区），包括西藏、四川、北京、重庆、大连。</w:t>
      </w:r>
      <w:bookmarkStart w:id="0" w:name="_GoBack"/>
      <w:bookmarkEnd w:id="0"/>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未来，金财公司将继续“扎根海南，服务全国”，推进预算管理一体化系统对标财政部</w:t>
      </w:r>
      <w:r>
        <w:rPr>
          <w:rFonts w:hint="eastAsia" w:ascii="Times New Roman" w:hAnsi="Times New Roman" w:eastAsia="仿宋_GB2312" w:cs="仿宋_GB2312"/>
          <w:sz w:val="32"/>
          <w:szCs w:val="32"/>
          <w:highlight w:val="none"/>
          <w:lang w:val="en-US" w:eastAsia="zh-CN" w:bidi="ar-SA"/>
        </w:rPr>
        <w:t>2</w:t>
      </w:r>
      <w:r>
        <w:rPr>
          <w:rFonts w:hint="eastAsia" w:ascii="仿宋_GB2312" w:hAnsi="仿宋_GB2312" w:eastAsia="仿宋_GB2312" w:cs="仿宋_GB2312"/>
          <w:sz w:val="32"/>
          <w:szCs w:val="32"/>
          <w:highlight w:val="none"/>
          <w:lang w:val="en-US" w:eastAsia="zh-CN" w:bidi="ar-SA"/>
        </w:rPr>
        <w:t>.</w:t>
      </w:r>
      <w:r>
        <w:rPr>
          <w:rFonts w:hint="eastAsia" w:ascii="Times New Roman" w:hAnsi="Times New Roman" w:eastAsia="仿宋_GB2312" w:cs="仿宋_GB2312"/>
          <w:sz w:val="32"/>
          <w:szCs w:val="32"/>
          <w:highlight w:val="none"/>
          <w:lang w:val="en-US" w:eastAsia="zh-CN" w:bidi="ar-SA"/>
        </w:rPr>
        <w:t>0</w:t>
      </w:r>
      <w:r>
        <w:rPr>
          <w:rFonts w:hint="eastAsia" w:ascii="仿宋_GB2312" w:hAnsi="仿宋_GB2312" w:eastAsia="仿宋_GB2312" w:cs="仿宋_GB2312"/>
          <w:sz w:val="32"/>
          <w:szCs w:val="32"/>
          <w:highlight w:val="none"/>
          <w:lang w:val="en-US" w:eastAsia="zh-CN" w:bidi="ar-SA"/>
        </w:rPr>
        <w:t>业务规范和技术标准升级,服务财政数据共享和财政数字化转型，同时积极拓展财金联动重点政策性项目、数字惠民支付、数字普惠金融等领域的数字化支撑服务。</w:t>
      </w:r>
    </w:p>
    <w:p>
      <w:pPr>
        <w:keepNext w:val="0"/>
        <w:keepLines w:val="0"/>
        <w:pageBreakBefore w:val="0"/>
        <w:widowControl w:val="0"/>
        <w:wordWrap/>
        <w:overflowPunct/>
        <w:topLinePunct w:val="0"/>
        <w:bidi w:val="0"/>
        <w:adjustRightInd w:val="0"/>
        <w:snapToGrid w:val="0"/>
        <w:spacing w:line="578" w:lineRule="exact"/>
        <w:ind w:firstLine="0" w:firstLineChars="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　　二、采购内容及要求</w:t>
      </w:r>
    </w:p>
    <w:p>
      <w:pPr>
        <w:keepNext w:val="0"/>
        <w:keepLines w:val="0"/>
        <w:pageBreakBefore w:val="0"/>
        <w:widowControl/>
        <w:wordWrap/>
        <w:overflowPunct/>
        <w:topLinePunct w:val="0"/>
        <w:bidi w:val="0"/>
        <w:spacing w:after="0" w:line="578" w:lineRule="exact"/>
        <w:ind w:firstLine="64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为完善公司治理，遵循合法合规经营，规范和指导业务有序高效开展，防范各类经营风险，金财公司拟对公司的现有管理制度体系进行全面梳理，查漏补缺，堵塞风险，分批分步骤开展管理制度修订完善工作。拟聘请第三方专业机构，协助进行重点管理制度的增补修订，借鉴同行业管理制度体系和优化案例，针对公司现有制度存在的突出问题，完善制订科学有效、切实可行的管理制度。</w:t>
      </w:r>
    </w:p>
    <w:p>
      <w:pPr>
        <w:keepNext w:val="0"/>
        <w:keepLines w:val="0"/>
        <w:pageBreakBefore w:val="0"/>
        <w:widowControl/>
        <w:numPr>
          <w:ilvl w:val="-1"/>
          <w:numId w:val="0"/>
        </w:numPr>
        <w:wordWrap/>
        <w:overflowPunct/>
        <w:topLinePunct w:val="0"/>
        <w:bidi w:val="0"/>
        <w:spacing w:after="0" w:line="578" w:lineRule="exact"/>
        <w:ind w:firstLine="643"/>
        <w:jc w:val="both"/>
        <w:rPr>
          <w:rFonts w:hint="eastAsia" w:ascii="仿宋_GB2312" w:hAnsi="仿宋_GB2312" w:cs="仿宋_GB2312"/>
          <w:highlight w:val="none"/>
          <w:lang w:val="en-US" w:eastAsia="zh-CN"/>
        </w:rPr>
      </w:pPr>
      <w:r>
        <w:rPr>
          <w:rFonts w:hint="eastAsia" w:ascii="楷体" w:hAnsi="楷体" w:eastAsia="楷体" w:cs="楷体"/>
          <w:b/>
          <w:bCs/>
          <w:highlight w:val="none"/>
          <w:lang w:val="en-US" w:eastAsia="zh-CN"/>
        </w:rPr>
        <w:t>（一）人事管理相关制度。</w:t>
      </w:r>
      <w:r>
        <w:rPr>
          <w:rFonts w:hint="eastAsia" w:ascii="仿宋_GB2312" w:hAnsi="仿宋_GB2312" w:cs="仿宋_GB2312"/>
          <w:highlight w:val="none"/>
          <w:lang w:val="en-US" w:eastAsia="zh-CN"/>
        </w:rPr>
        <w:t>对外部董事管理、定岗定编、薪酬绩效考核机制、职务任免等人事管理域开展对标分析与研究，制订符合公司发展阶段及兼具行业特征与管理先进性的三定方案、薪酬管理办法、绩效考核制度、职务任免及外部董事管理办法。</w:t>
      </w:r>
    </w:p>
    <w:p>
      <w:pPr>
        <w:keepNext w:val="0"/>
        <w:keepLines w:val="0"/>
        <w:pageBreakBefore w:val="0"/>
        <w:widowControl/>
        <w:numPr>
          <w:ilvl w:val="-1"/>
          <w:numId w:val="0"/>
        </w:numPr>
        <w:wordWrap/>
        <w:overflowPunct/>
        <w:topLinePunct w:val="0"/>
        <w:bidi w:val="0"/>
        <w:spacing w:after="0" w:line="578" w:lineRule="exact"/>
        <w:ind w:firstLine="643"/>
        <w:jc w:val="both"/>
        <w:rPr>
          <w:rFonts w:hint="eastAsia" w:ascii="仿宋_GB2312" w:hAnsi="仿宋_GB2312" w:cs="仿宋_GB2312"/>
          <w:highlight w:val="none"/>
          <w:lang w:val="en-US" w:eastAsia="zh-CN"/>
        </w:rPr>
      </w:pPr>
      <w:r>
        <w:rPr>
          <w:rFonts w:hint="eastAsia" w:ascii="楷体" w:hAnsi="楷体" w:eastAsia="楷体" w:cs="楷体"/>
          <w:b/>
          <w:bCs/>
          <w:highlight w:val="none"/>
          <w:lang w:val="en-US" w:eastAsia="zh-CN"/>
        </w:rPr>
        <w:t>（二）采购管理相关制度。</w:t>
      </w:r>
      <w:r>
        <w:rPr>
          <w:rFonts w:hint="eastAsia" w:ascii="仿宋_GB2312" w:hAnsi="仿宋_GB2312" w:cs="仿宋_GB2312"/>
          <w:highlight w:val="none"/>
          <w:lang w:val="en-US" w:eastAsia="zh-CN"/>
        </w:rPr>
        <w:t>为提升采购管理效率与防控采购风险，对采购活动开展风险评估、根据风险评估结果修编采购管理（含零星采购管理）办法、实施细则和相关业务表单，建立健全内部管理制度体系，为公司内部管理工作的持续改进打下坚实基础。</w:t>
      </w:r>
    </w:p>
    <w:p>
      <w:pPr>
        <w:keepNext w:val="0"/>
        <w:keepLines w:val="0"/>
        <w:pageBreakBefore w:val="0"/>
        <w:widowControl/>
        <w:numPr>
          <w:ilvl w:val="0"/>
          <w:numId w:val="0"/>
        </w:numPr>
        <w:wordWrap/>
        <w:overflowPunct/>
        <w:topLinePunct w:val="0"/>
        <w:bidi w:val="0"/>
        <w:spacing w:before="0" w:after="0" w:line="578" w:lineRule="exact"/>
        <w:ind w:firstLine="643" w:firstLineChars="0"/>
        <w:jc w:val="both"/>
        <w:outlineLvl w:val="9"/>
        <w:rPr>
          <w:rFonts w:hint="eastAsia" w:ascii="楷体" w:hAnsi="楷体" w:eastAsia="楷体" w:cs="楷体"/>
          <w:b/>
          <w:bCs/>
          <w:kern w:val="0"/>
          <w:sz w:val="32"/>
          <w:szCs w:val="32"/>
          <w:highlight w:val="none"/>
          <w:lang w:val="en-US" w:eastAsia="zh-CN" w:bidi="ar-SA"/>
        </w:rPr>
      </w:pPr>
      <w:r>
        <w:rPr>
          <w:rFonts w:hint="eastAsia" w:ascii="楷体" w:hAnsi="楷体" w:eastAsia="楷体" w:cs="楷体"/>
          <w:b/>
          <w:bCs/>
          <w:kern w:val="0"/>
          <w:sz w:val="32"/>
          <w:szCs w:val="32"/>
          <w:highlight w:val="none"/>
          <w:lang w:val="en-US" w:eastAsia="zh-CN" w:bidi="ar-SA"/>
        </w:rPr>
        <w:t>（三）内部控制相关制度。</w:t>
      </w:r>
      <w:r>
        <w:rPr>
          <w:rFonts w:hint="eastAsia" w:ascii="仿宋_GB2312" w:hAnsi="仿宋_GB2312" w:eastAsia="仿宋_GB2312" w:cs="仿宋_GB2312"/>
          <w:b w:val="0"/>
          <w:bCs w:val="0"/>
          <w:kern w:val="0"/>
          <w:sz w:val="32"/>
          <w:szCs w:val="32"/>
          <w:highlight w:val="none"/>
          <w:lang w:val="en-US" w:eastAsia="zh-CN" w:bidi="ar-SA"/>
        </w:rPr>
        <w:t>构建覆盖全业务链条的内部控制体系，开展内部控制现状诊断、风险点排查，借鉴同行业先进内控案例，制定符合公司国有独资属性及财政信息化业务特点的管理制度及配套实施细则，填补现有内控体系空白，提升公司抗风险能力与管理精细化水平。</w:t>
      </w:r>
    </w:p>
    <w:p>
      <w:pPr>
        <w:keepNext/>
        <w:keepLines/>
        <w:widowControl w:val="0"/>
        <w:spacing w:before="0" w:after="0" w:line="360" w:lineRule="auto"/>
        <w:ind w:firstLine="643" w:firstLineChars="200"/>
        <w:jc w:val="both"/>
        <w:outlineLvl w:val="0"/>
        <w:rPr>
          <w:rFonts w:hint="eastAsia" w:ascii="仿宋_GB2312" w:hAnsi="仿宋_GB2312" w:eastAsia="仿宋_GB2312" w:cs="仿宋_GB2312"/>
          <w:b w:val="0"/>
          <w:bCs w:val="0"/>
          <w:kern w:val="0"/>
          <w:sz w:val="32"/>
          <w:szCs w:val="32"/>
          <w:highlight w:val="none"/>
          <w:lang w:val="en-US" w:eastAsia="zh-CN" w:bidi="ar-SA"/>
        </w:rPr>
      </w:pPr>
      <w:r>
        <w:rPr>
          <w:rFonts w:hint="eastAsia" w:ascii="楷体" w:hAnsi="楷体" w:eastAsia="楷体" w:cs="楷体"/>
          <w:b/>
          <w:bCs/>
          <w:kern w:val="0"/>
          <w:sz w:val="32"/>
          <w:szCs w:val="32"/>
          <w:highlight w:val="none"/>
          <w:lang w:val="en-US" w:eastAsia="zh-CN" w:bidi="ar-SA"/>
        </w:rPr>
        <w:t>（四）项目服务成果（包含但不限于表中内容）</w:t>
      </w:r>
    </w:p>
    <w:tbl>
      <w:tblPr>
        <w:tblStyle w:val="10"/>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002"/>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2" w:type="dxa"/>
            <w:vAlign w:val="center"/>
          </w:tcPr>
          <w:p>
            <w:pPr>
              <w:widowControl/>
              <w:spacing w:after="0" w:line="360" w:lineRule="auto"/>
              <w:ind w:firstLine="0" w:firstLineChars="0"/>
              <w:jc w:val="center"/>
              <w:rPr>
                <w:rFonts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序号</w:t>
            </w:r>
          </w:p>
        </w:tc>
        <w:tc>
          <w:tcPr>
            <w:tcW w:w="3002" w:type="dxa"/>
            <w:vAlign w:val="center"/>
          </w:tcPr>
          <w:p>
            <w:pPr>
              <w:widowControl/>
              <w:spacing w:after="0" w:line="360" w:lineRule="auto"/>
              <w:ind w:firstLine="0" w:firstLineChars="0"/>
              <w:jc w:val="center"/>
              <w:rPr>
                <w:rFonts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项目成果</w:t>
            </w:r>
          </w:p>
        </w:tc>
        <w:tc>
          <w:tcPr>
            <w:tcW w:w="5900" w:type="dxa"/>
            <w:vAlign w:val="center"/>
          </w:tcPr>
          <w:p>
            <w:pPr>
              <w:widowControl/>
              <w:spacing w:after="0" w:line="360" w:lineRule="auto"/>
              <w:ind w:firstLine="0" w:firstLineChars="0"/>
              <w:jc w:val="center"/>
              <w:rPr>
                <w:rFonts w:ascii="仿宋" w:hAnsi="仿宋" w:eastAsia="仿宋" w:cs="仿宋"/>
                <w:b/>
                <w:bCs/>
                <w:color w:val="000000" w:themeColor="text1"/>
                <w:kern w:val="2"/>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eastAsia="zh-CN"/>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widowControl/>
              <w:spacing w:after="0" w:line="360" w:lineRule="auto"/>
              <w:ind w:firstLine="0" w:firstLineChars="0"/>
              <w:jc w:val="center"/>
              <w:rPr>
                <w:rFonts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eastAsia="zh-CN"/>
              </w:rPr>
              <w:t>1</w:t>
            </w:r>
          </w:p>
        </w:tc>
        <w:tc>
          <w:tcPr>
            <w:tcW w:w="3002" w:type="dxa"/>
            <w:vAlign w:val="center"/>
          </w:tcPr>
          <w:p>
            <w:pPr>
              <w:widowControl/>
              <w:spacing w:after="0" w:line="36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《三定方案》、《</w:t>
            </w:r>
            <w:r>
              <w:rPr>
                <w:rFonts w:hint="eastAsia" w:ascii="仿宋" w:hAnsi="仿宋" w:eastAsia="仿宋" w:cs="仿宋"/>
                <w:kern w:val="2"/>
                <w:sz w:val="24"/>
                <w:szCs w:val="24"/>
                <w:highlight w:val="none"/>
                <w:lang w:eastAsia="zh-CN"/>
              </w:rPr>
              <w:t>薪酬管理办法》、《绩效考核制度》、《职务任免</w:t>
            </w:r>
            <w:r>
              <w:rPr>
                <w:rFonts w:hint="eastAsia" w:ascii="仿宋" w:hAnsi="仿宋" w:eastAsia="仿宋" w:cs="仿宋"/>
                <w:kern w:val="2"/>
                <w:sz w:val="24"/>
                <w:szCs w:val="24"/>
                <w:highlight w:val="none"/>
                <w:lang w:val="en-US" w:eastAsia="zh-CN"/>
              </w:rPr>
              <w:t>办法</w:t>
            </w:r>
            <w:r>
              <w:rPr>
                <w:rFonts w:hint="eastAsia" w:ascii="仿宋" w:hAnsi="仿宋" w:eastAsia="仿宋" w:cs="仿宋"/>
                <w:kern w:val="2"/>
                <w:sz w:val="24"/>
                <w:szCs w:val="24"/>
                <w:highlight w:val="none"/>
                <w:lang w:eastAsia="zh-CN"/>
              </w:rPr>
              <w:t>》、《外部董事管理办法》</w:t>
            </w:r>
          </w:p>
        </w:tc>
        <w:tc>
          <w:tcPr>
            <w:tcW w:w="5900" w:type="dxa"/>
            <w:vAlign w:val="center"/>
          </w:tcPr>
          <w:p>
            <w:pPr>
              <w:widowControl/>
              <w:spacing w:after="0" w:line="360" w:lineRule="auto"/>
              <w:ind w:firstLine="0" w:firstLineChars="0"/>
              <w:jc w:val="both"/>
              <w:rPr>
                <w:rFonts w:hint="eastAsia" w:eastAsia="仿宋" w:cs="仿宋"/>
                <w:color w:val="000000" w:themeColor="text1"/>
                <w:kern w:val="2"/>
                <w:sz w:val="24"/>
                <w:szCs w:val="24"/>
                <w:highlight w:val="none"/>
                <w:lang w:val="en-US" w:eastAsia="zh-CN"/>
                <w14:textFill>
                  <w14:solidFill>
                    <w14:schemeClr w14:val="tx1"/>
                  </w14:solidFill>
                </w14:textFill>
              </w:rPr>
            </w:pPr>
            <w:r>
              <w:rPr>
                <w:rFonts w:hint="eastAsia" w:eastAsia="仿宋" w:cs="仿宋"/>
                <w:color w:val="000000" w:themeColor="text1"/>
                <w:kern w:val="2"/>
                <w:sz w:val="24"/>
                <w:szCs w:val="24"/>
                <w:highlight w:val="none"/>
                <w:lang w:eastAsia="zh-CN"/>
                <w14:textFill>
                  <w14:solidFill>
                    <w14:schemeClr w14:val="tx1"/>
                  </w14:solidFill>
                </w14:textFill>
              </w:rPr>
              <w:t>《</w:t>
            </w:r>
            <w:r>
              <w:rPr>
                <w:rFonts w:hint="eastAsia" w:eastAsia="仿宋" w:cs="仿宋"/>
                <w:color w:val="000000" w:themeColor="text1"/>
                <w:kern w:val="2"/>
                <w:sz w:val="24"/>
                <w:szCs w:val="24"/>
                <w:highlight w:val="none"/>
                <w:lang w:val="en-US" w:eastAsia="zh-CN"/>
                <w14:textFill>
                  <w14:solidFill>
                    <w14:schemeClr w14:val="tx1"/>
                  </w14:solidFill>
                </w14:textFill>
              </w:rPr>
              <w:t>三定方案</w:t>
            </w:r>
            <w:r>
              <w:rPr>
                <w:rFonts w:hint="eastAsia" w:eastAsia="仿宋" w:cs="仿宋"/>
                <w:color w:val="000000" w:themeColor="text1"/>
                <w:kern w:val="2"/>
                <w:sz w:val="24"/>
                <w:szCs w:val="24"/>
                <w:highlight w:val="none"/>
                <w:lang w:eastAsia="zh-CN"/>
                <w14:textFill>
                  <w14:solidFill>
                    <w14:schemeClr w14:val="tx1"/>
                  </w14:solidFill>
                </w14:textFill>
              </w:rPr>
              <w:t>》</w:t>
            </w:r>
            <w:r>
              <w:rPr>
                <w:rFonts w:hint="eastAsia" w:eastAsia="仿宋" w:cs="仿宋"/>
                <w:color w:val="000000" w:themeColor="text1"/>
                <w:kern w:val="2"/>
                <w:sz w:val="24"/>
                <w:szCs w:val="24"/>
                <w:highlight w:val="none"/>
                <w:lang w:val="en-US" w:eastAsia="zh-CN"/>
                <w14:textFill>
                  <w14:solidFill>
                    <w14:schemeClr w14:val="tx1"/>
                  </w14:solidFill>
                </w14:textFill>
              </w:rPr>
              <w:t>定职能：明确部门的职责边界与工作任务；定机构：规范部门的组织架构；定编制：确定人员配备的数量与结构，推动公司治理能力的提升与服务效能的优化。</w:t>
            </w:r>
          </w:p>
          <w:p>
            <w:pPr>
              <w:widowControl/>
              <w:spacing w:after="0" w:line="360" w:lineRule="auto"/>
              <w:ind w:firstLine="0" w:firstLineChars="0"/>
              <w:jc w:val="both"/>
              <w:rPr>
                <w:rFonts w:hint="eastAsia" w:eastAsia="仿宋" w:cs="仿宋"/>
                <w:color w:val="000000" w:themeColor="text1"/>
                <w:kern w:val="2"/>
                <w:sz w:val="24"/>
                <w:szCs w:val="24"/>
                <w:highlight w:val="none"/>
                <w:lang w:val="en-US" w:eastAsia="zh-CN"/>
                <w14:textFill>
                  <w14:solidFill>
                    <w14:schemeClr w14:val="tx1"/>
                  </w14:solidFill>
                </w14:textFill>
              </w:rPr>
            </w:pPr>
            <w:r>
              <w:rPr>
                <w:rFonts w:hint="eastAsia" w:eastAsia="仿宋" w:cs="仿宋"/>
                <w:color w:val="000000" w:themeColor="text1"/>
                <w:kern w:val="2"/>
                <w:sz w:val="24"/>
                <w:szCs w:val="24"/>
                <w:highlight w:val="none"/>
                <w:lang w:val="en-US" w:eastAsia="zh-CN"/>
                <w14:textFill>
                  <w14:solidFill>
                    <w14:schemeClr w14:val="tx1"/>
                  </w14:solidFill>
                </w14:textFill>
              </w:rPr>
              <w:t>《薪酬管理办法》规范公司薪酬分配、激励约束机制，涵盖薪酬设计、考核、调整、监督全流程。</w:t>
            </w:r>
          </w:p>
          <w:p>
            <w:pPr>
              <w:widowControl/>
              <w:spacing w:after="0" w:line="360" w:lineRule="auto"/>
              <w:ind w:firstLine="0" w:firstLineChars="0"/>
              <w:jc w:val="both"/>
              <w:rPr>
                <w:rFonts w:hint="default" w:eastAsia="仿宋" w:cs="仿宋"/>
                <w:color w:val="000000" w:themeColor="text1"/>
                <w:kern w:val="2"/>
                <w:sz w:val="24"/>
                <w:szCs w:val="24"/>
                <w:highlight w:val="none"/>
                <w:lang w:val="en-US" w:eastAsia="zh-CN"/>
                <w14:textFill>
                  <w14:solidFill>
                    <w14:schemeClr w14:val="tx1"/>
                  </w14:solidFill>
                </w14:textFill>
              </w:rPr>
            </w:pPr>
            <w:r>
              <w:rPr>
                <w:rFonts w:hint="eastAsia" w:eastAsia="仿宋" w:cs="仿宋"/>
                <w:color w:val="000000" w:themeColor="text1"/>
                <w:kern w:val="2"/>
                <w:sz w:val="24"/>
                <w:szCs w:val="24"/>
                <w:highlight w:val="none"/>
                <w:lang w:val="en-US" w:eastAsia="zh-CN"/>
                <w14:textFill>
                  <w14:solidFill>
                    <w14:schemeClr w14:val="tx1"/>
                  </w14:solidFill>
                </w14:textFill>
              </w:rPr>
              <w:t>《绩效考核制度》规范考核周期与层级设计，明确考核指标与标准，制定考核方法与工具，完善考核流程与反馈机制，合理应用考核结果。</w:t>
            </w:r>
          </w:p>
          <w:p>
            <w:pPr>
              <w:widowControl/>
              <w:spacing w:after="0" w:line="360" w:lineRule="auto"/>
              <w:ind w:firstLine="0" w:firstLineChars="0"/>
              <w:jc w:val="both"/>
              <w:rPr>
                <w:rFonts w:hint="eastAsia" w:eastAsia="仿宋" w:cs="仿宋"/>
                <w:color w:val="000000" w:themeColor="text1"/>
                <w:kern w:val="2"/>
                <w:sz w:val="24"/>
                <w:szCs w:val="24"/>
                <w:highlight w:val="none"/>
                <w:lang w:val="en-US" w:eastAsia="zh-CN"/>
                <w14:textFill>
                  <w14:solidFill>
                    <w14:schemeClr w14:val="tx1"/>
                  </w14:solidFill>
                </w14:textFill>
              </w:rPr>
            </w:pPr>
            <w:r>
              <w:rPr>
                <w:rFonts w:hint="eastAsia" w:eastAsia="仿宋" w:cs="仿宋"/>
                <w:color w:val="000000" w:themeColor="text1"/>
                <w:kern w:val="2"/>
                <w:sz w:val="24"/>
                <w:szCs w:val="24"/>
                <w:highlight w:val="none"/>
                <w:lang w:eastAsia="zh-CN"/>
                <w14:textFill>
                  <w14:solidFill>
                    <w14:schemeClr w14:val="tx1"/>
                  </w14:solidFill>
                </w14:textFill>
              </w:rPr>
              <w:t>《</w:t>
            </w:r>
            <w:r>
              <w:rPr>
                <w:rFonts w:hint="eastAsia" w:eastAsia="仿宋" w:cs="仿宋"/>
                <w:color w:val="000000" w:themeColor="text1"/>
                <w:kern w:val="2"/>
                <w:sz w:val="24"/>
                <w:szCs w:val="24"/>
                <w:highlight w:val="none"/>
                <w:lang w:val="en-US" w:eastAsia="zh-CN"/>
                <w14:textFill>
                  <w14:solidFill>
                    <w14:schemeClr w14:val="tx1"/>
                  </w14:solidFill>
                </w14:textFill>
              </w:rPr>
              <w:t>职务任免办法</w:t>
            </w:r>
            <w:r>
              <w:rPr>
                <w:rFonts w:hint="eastAsia" w:eastAsia="仿宋" w:cs="仿宋"/>
                <w:color w:val="000000" w:themeColor="text1"/>
                <w:kern w:val="2"/>
                <w:sz w:val="24"/>
                <w:szCs w:val="24"/>
                <w:highlight w:val="none"/>
                <w:lang w:eastAsia="zh-CN"/>
                <w14:textFill>
                  <w14:solidFill>
                    <w14:schemeClr w14:val="tx1"/>
                  </w14:solidFill>
                </w14:textFill>
              </w:rPr>
              <w:t>》</w:t>
            </w:r>
            <w:r>
              <w:rPr>
                <w:rFonts w:hint="eastAsia" w:eastAsia="仿宋" w:cs="仿宋"/>
                <w:color w:val="000000" w:themeColor="text1"/>
                <w:kern w:val="2"/>
                <w:sz w:val="24"/>
                <w:szCs w:val="24"/>
                <w:highlight w:val="none"/>
                <w:lang w:val="en-US" w:eastAsia="zh-CN"/>
                <w14:textFill>
                  <w14:solidFill>
                    <w14:schemeClr w14:val="tx1"/>
                  </w14:solidFill>
                </w14:textFill>
              </w:rPr>
              <w:t>内容体系以“党管干部”为原则，融合程序规范、条件约束、监督闭环三大维度，优化班子结构、激发干部活力、规范权力运行、推动公司发展。</w:t>
            </w:r>
          </w:p>
          <w:p>
            <w:pPr>
              <w:widowControl/>
              <w:spacing w:after="0" w:line="360" w:lineRule="auto"/>
              <w:ind w:firstLine="0" w:firstLineChars="0"/>
              <w:jc w:val="both"/>
              <w:rPr>
                <w:rFonts w:ascii="仿宋" w:hAnsi="仿宋" w:eastAsia="仿宋" w:cs="仿宋"/>
                <w:color w:val="000000" w:themeColor="text1"/>
                <w:kern w:val="2"/>
                <w:sz w:val="24"/>
                <w:szCs w:val="24"/>
                <w:highlight w:val="none"/>
                <w:lang w:eastAsia="zh-CN"/>
                <w14:textFill>
                  <w14:solidFill>
                    <w14:schemeClr w14:val="tx1"/>
                  </w14:solidFill>
                </w14:textFill>
              </w:rPr>
            </w:pPr>
            <w:r>
              <w:rPr>
                <w:rFonts w:hint="eastAsia" w:eastAsia="仿宋" w:cs="仿宋"/>
                <w:color w:val="000000" w:themeColor="text1"/>
                <w:kern w:val="2"/>
                <w:sz w:val="24"/>
                <w:szCs w:val="24"/>
                <w:highlight w:val="none"/>
                <w:lang w:val="en-US" w:eastAsia="zh-CN"/>
                <w14:textFill>
                  <w14:solidFill>
                    <w14:schemeClr w14:val="tx1"/>
                  </w14:solidFill>
                </w14:textFill>
              </w:rPr>
              <w:t>《外部董事管理办法》围绕“选、育、用、留、退”全流程设计，覆盖任职条件、选聘程序、职责权利、考核评价、薪酬激励、退出机制六大维度。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widowControl/>
              <w:spacing w:after="0" w:line="360" w:lineRule="auto"/>
              <w:ind w:firstLine="0" w:firstLineChars="0"/>
              <w:jc w:val="center"/>
              <w:rPr>
                <w:rFonts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eastAsia="zh-CN"/>
              </w:rPr>
              <w:t>2</w:t>
            </w:r>
          </w:p>
        </w:tc>
        <w:tc>
          <w:tcPr>
            <w:tcW w:w="3002" w:type="dxa"/>
            <w:vAlign w:val="center"/>
          </w:tcPr>
          <w:p>
            <w:pPr>
              <w:widowControl/>
              <w:spacing w:after="0" w:line="36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采购</w:t>
            </w:r>
            <w:r>
              <w:rPr>
                <w:rFonts w:hint="eastAsia" w:ascii="仿宋" w:hAnsi="仿宋" w:eastAsia="仿宋" w:cs="仿宋"/>
                <w:kern w:val="2"/>
                <w:sz w:val="24"/>
                <w:szCs w:val="24"/>
                <w:highlight w:val="none"/>
                <w:lang w:eastAsia="zh-CN"/>
              </w:rPr>
              <w:t>管理（</w:t>
            </w:r>
            <w:r>
              <w:rPr>
                <w:rFonts w:hint="eastAsia" w:ascii="仿宋" w:hAnsi="仿宋" w:eastAsia="仿宋" w:cs="仿宋"/>
                <w:kern w:val="2"/>
                <w:sz w:val="24"/>
                <w:szCs w:val="24"/>
                <w:highlight w:val="none"/>
                <w:lang w:val="en-US" w:eastAsia="zh-CN"/>
              </w:rPr>
              <w:t>含零星采购管理）</w:t>
            </w:r>
            <w:r>
              <w:rPr>
                <w:rFonts w:hint="eastAsia" w:ascii="仿宋" w:hAnsi="仿宋" w:eastAsia="仿宋" w:cs="仿宋"/>
                <w:kern w:val="2"/>
                <w:sz w:val="24"/>
                <w:szCs w:val="24"/>
                <w:highlight w:val="none"/>
                <w:lang w:eastAsia="zh-CN"/>
              </w:rPr>
              <w:t>办法》</w:t>
            </w:r>
          </w:p>
        </w:tc>
        <w:tc>
          <w:tcPr>
            <w:tcW w:w="5900" w:type="dxa"/>
            <w:vAlign w:val="center"/>
          </w:tcPr>
          <w:p>
            <w:pPr>
              <w:widowControl/>
              <w:spacing w:after="0" w:line="360" w:lineRule="auto"/>
              <w:ind w:firstLine="0" w:firstLineChars="0"/>
              <w:jc w:val="both"/>
              <w:rPr>
                <w:rFonts w:ascii="仿宋" w:hAnsi="仿宋" w:eastAsia="仿宋" w:cs="仿宋"/>
                <w:kern w:val="2"/>
                <w:sz w:val="24"/>
                <w:szCs w:val="24"/>
                <w:highlight w:val="yellow"/>
                <w:lang w:eastAsia="zh-CN"/>
              </w:rPr>
            </w:pPr>
            <w:r>
              <w:rPr>
                <w:rFonts w:hint="eastAsia" w:eastAsia="仿宋" w:cs="仿宋"/>
                <w:kern w:val="2"/>
                <w:sz w:val="24"/>
                <w:szCs w:val="24"/>
                <w:highlight w:val="none"/>
                <w:lang w:val="en-US" w:eastAsia="zh-CN"/>
              </w:rPr>
              <w:t>以“规范流程、降低成本、防范风险、提升效率”为目标，</w:t>
            </w:r>
            <w:r>
              <w:rPr>
                <w:rFonts w:hint="eastAsia" w:ascii="仿宋" w:hAnsi="仿宋" w:eastAsia="仿宋" w:cs="仿宋"/>
                <w:kern w:val="2"/>
                <w:sz w:val="24"/>
                <w:szCs w:val="24"/>
                <w:highlight w:val="none"/>
                <w:lang w:eastAsia="zh-CN"/>
              </w:rPr>
              <w:t>核心内容包括采购计划制定、供应商筛选与管理、采购执行（含议价/招标）、验收与付款流程。针对零星采购，单独规定小额高频采购的简化审批流程与限额标准，同时明确各环节责任主体，确保采购高效、合规、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widowControl/>
              <w:spacing w:after="0" w:line="360" w:lineRule="auto"/>
              <w:ind w:firstLine="0" w:firstLineChars="0"/>
              <w:jc w:val="center"/>
              <w:rPr>
                <w:rFonts w:hint="eastAsia"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val="en-US" w:eastAsia="zh-CN"/>
              </w:rPr>
              <w:t>3</w:t>
            </w:r>
          </w:p>
        </w:tc>
        <w:tc>
          <w:tcPr>
            <w:tcW w:w="3002" w:type="dxa"/>
            <w:vAlign w:val="center"/>
          </w:tcPr>
          <w:p>
            <w:pPr>
              <w:widowControl/>
              <w:spacing w:after="0" w:line="360" w:lineRule="auto"/>
              <w:ind w:firstLine="0" w:firstLineChars="0"/>
              <w:jc w:val="both"/>
              <w:rPr>
                <w:rFonts w:hint="eastAsia" w:ascii="仿宋" w:hAnsi="仿宋" w:eastAsia="仿宋" w:cs="仿宋"/>
                <w:kern w:val="2"/>
                <w:sz w:val="24"/>
                <w:szCs w:val="24"/>
                <w:highlight w:val="none"/>
                <w:lang w:eastAsia="zh-CN"/>
              </w:rPr>
            </w:pPr>
            <w:r>
              <w:rPr>
                <w:rFonts w:hint="eastAsia" w:eastAsia="仿宋"/>
                <w:kern w:val="2"/>
                <w:sz w:val="24"/>
                <w:szCs w:val="24"/>
                <w:highlight w:val="none"/>
                <w:lang w:eastAsia="zh-CN"/>
              </w:rPr>
              <w:t>《内部控制管理办法》、《内部控制配套实施细则》</w:t>
            </w:r>
          </w:p>
        </w:tc>
        <w:tc>
          <w:tcPr>
            <w:tcW w:w="5900" w:type="dxa"/>
            <w:vAlign w:val="center"/>
          </w:tcPr>
          <w:p>
            <w:pPr>
              <w:widowControl/>
              <w:spacing w:after="0" w:line="360" w:lineRule="auto"/>
              <w:ind w:firstLine="0" w:firstLineChars="0"/>
              <w:jc w:val="both"/>
              <w:rPr>
                <w:rFonts w:hint="eastAsia" w:eastAsia="仿宋" w:cs="仿宋"/>
                <w:kern w:val="2"/>
                <w:sz w:val="24"/>
                <w:szCs w:val="24"/>
                <w:highlight w:val="none"/>
                <w:lang w:eastAsia="zh-CN"/>
              </w:rPr>
            </w:pPr>
            <w:r>
              <w:rPr>
                <w:rFonts w:hint="eastAsia" w:eastAsia="仿宋" w:cs="仿宋"/>
                <w:kern w:val="2"/>
                <w:sz w:val="24"/>
                <w:szCs w:val="24"/>
                <w:highlight w:val="none"/>
                <w:lang w:eastAsia="zh-CN"/>
              </w:rPr>
              <w:t>《</w:t>
            </w:r>
            <w:r>
              <w:rPr>
                <w:rFonts w:hint="eastAsia" w:eastAsia="仿宋" w:cs="仿宋"/>
                <w:kern w:val="2"/>
                <w:sz w:val="24"/>
                <w:szCs w:val="24"/>
                <w:highlight w:val="none"/>
                <w:lang w:val="en-US" w:eastAsia="zh-CN"/>
              </w:rPr>
              <w:t>内部控制管理办法</w:t>
            </w:r>
            <w:r>
              <w:rPr>
                <w:rFonts w:hint="eastAsia" w:eastAsia="仿宋" w:cs="仿宋"/>
                <w:kern w:val="2"/>
                <w:sz w:val="24"/>
                <w:szCs w:val="24"/>
                <w:highlight w:val="none"/>
                <w:lang w:eastAsia="zh-CN"/>
              </w:rPr>
              <w:t>》</w:t>
            </w:r>
            <w:r>
              <w:rPr>
                <w:rFonts w:hint="eastAsia" w:ascii="仿宋" w:hAnsi="仿宋" w:eastAsia="仿宋" w:cs="仿宋"/>
                <w:kern w:val="2"/>
                <w:sz w:val="24"/>
                <w:szCs w:val="24"/>
                <w:highlight w:val="none"/>
                <w:lang w:eastAsia="zh-CN"/>
              </w:rPr>
              <w:t>明确内控目标（合规经营、资产安全、信息真实、提高效率）、适用范围（覆盖公司所有部门及业务环节，含预算管理一体化系统开发、运维服务等核心业务）、遵循原则（全面性、重要性、制衡性、适应性）</w:t>
            </w:r>
            <w:r>
              <w:rPr>
                <w:rFonts w:hint="eastAsia" w:eastAsia="仿宋" w:cs="仿宋"/>
                <w:kern w:val="2"/>
                <w:sz w:val="24"/>
                <w:szCs w:val="24"/>
                <w:highlight w:val="none"/>
                <w:lang w:eastAsia="zh-CN"/>
              </w:rPr>
              <w:t>。</w:t>
            </w:r>
          </w:p>
          <w:p>
            <w:pPr>
              <w:widowControl/>
              <w:spacing w:after="0" w:line="360" w:lineRule="auto"/>
              <w:ind w:firstLine="0" w:firstLineChars="0"/>
              <w:jc w:val="both"/>
              <w:rPr>
                <w:rFonts w:hint="eastAsia" w:ascii="仿宋" w:hAnsi="仿宋" w:eastAsia="仿宋" w:cs="仿宋"/>
                <w:kern w:val="2"/>
                <w:sz w:val="24"/>
                <w:szCs w:val="24"/>
                <w:highlight w:val="yellow"/>
                <w:lang w:eastAsia="zh-CN"/>
              </w:rPr>
            </w:pPr>
            <w:r>
              <w:rPr>
                <w:rFonts w:hint="eastAsia" w:eastAsia="仿宋" w:cs="仿宋"/>
                <w:kern w:val="2"/>
                <w:sz w:val="24"/>
                <w:szCs w:val="24"/>
                <w:highlight w:val="none"/>
                <w:lang w:eastAsia="zh-CN"/>
              </w:rPr>
              <w:t>《</w:t>
            </w:r>
            <w:r>
              <w:rPr>
                <w:rFonts w:hint="eastAsia" w:eastAsia="仿宋" w:cs="仿宋"/>
                <w:kern w:val="2"/>
                <w:sz w:val="24"/>
                <w:szCs w:val="24"/>
                <w:highlight w:val="none"/>
                <w:lang w:val="en-US" w:eastAsia="zh-CN"/>
              </w:rPr>
              <w:t>内部控制配套实施细则</w:t>
            </w:r>
            <w:r>
              <w:rPr>
                <w:rFonts w:hint="eastAsia" w:eastAsia="仿宋" w:cs="仿宋"/>
                <w:kern w:val="2"/>
                <w:sz w:val="24"/>
                <w:szCs w:val="24"/>
                <w:highlight w:val="none"/>
                <w:lang w:eastAsia="zh-CN"/>
              </w:rPr>
              <w:t>》</w:t>
            </w:r>
            <w:r>
              <w:rPr>
                <w:rFonts w:hint="eastAsia" w:eastAsia="仿宋" w:cs="仿宋"/>
                <w:kern w:val="2"/>
                <w:sz w:val="24"/>
                <w:szCs w:val="24"/>
                <w:highlight w:val="none"/>
                <w:lang w:val="en-US" w:eastAsia="zh-CN"/>
              </w:rPr>
              <w:t>构建内部控制基础框架，规范经济活动全流程（预算管理、收支管理、合同管理、政府采购管理及资产管理等），做好评价与监督，形成管理闭环。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12" w:type="dxa"/>
            <w:vAlign w:val="center"/>
          </w:tcPr>
          <w:p>
            <w:pPr>
              <w:widowControl/>
              <w:spacing w:after="0" w:line="360" w:lineRule="auto"/>
              <w:ind w:firstLine="0" w:firstLineChars="0"/>
              <w:jc w:val="center"/>
              <w:rPr>
                <w:rFonts w:hint="default" w:ascii="仿宋" w:hAnsi="仿宋" w:eastAsia="仿宋" w:cs="仿宋"/>
                <w:kern w:val="2"/>
                <w:sz w:val="24"/>
                <w:szCs w:val="24"/>
                <w:highlight w:val="none"/>
                <w:lang w:val="en-US" w:eastAsia="zh-CN"/>
              </w:rPr>
            </w:pPr>
            <w:r>
              <w:rPr>
                <w:rFonts w:hint="eastAsia" w:ascii="Times New Roman" w:hAnsi="Times New Roman" w:eastAsia="仿宋" w:cs="仿宋"/>
                <w:kern w:val="2"/>
                <w:sz w:val="24"/>
                <w:szCs w:val="24"/>
                <w:highlight w:val="none"/>
                <w:lang w:val="en-US" w:eastAsia="zh-CN"/>
              </w:rPr>
              <w:t>4</w:t>
            </w:r>
          </w:p>
        </w:tc>
        <w:tc>
          <w:tcPr>
            <w:tcW w:w="3002" w:type="dxa"/>
            <w:vAlign w:val="center"/>
          </w:tcPr>
          <w:p>
            <w:pPr>
              <w:widowControl/>
              <w:spacing w:after="0" w:line="36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管理制度</w:t>
            </w:r>
            <w:r>
              <w:rPr>
                <w:rFonts w:hint="eastAsia" w:ascii="仿宋" w:hAnsi="仿宋" w:eastAsia="仿宋" w:cs="仿宋"/>
                <w:kern w:val="2"/>
                <w:sz w:val="24"/>
                <w:szCs w:val="24"/>
                <w:highlight w:val="none"/>
                <w:lang w:eastAsia="zh-CN"/>
              </w:rPr>
              <w:t>实施及落地培训</w:t>
            </w:r>
          </w:p>
        </w:tc>
        <w:tc>
          <w:tcPr>
            <w:tcW w:w="5900" w:type="dxa"/>
            <w:vAlign w:val="center"/>
          </w:tcPr>
          <w:p>
            <w:pPr>
              <w:widowControl/>
              <w:adjustRightInd w:val="0"/>
              <w:snapToGrid w:val="0"/>
              <w:spacing w:after="0" w:line="360" w:lineRule="auto"/>
              <w:ind w:firstLine="0" w:firstLineChars="0"/>
              <w:jc w:val="both"/>
              <w:rPr>
                <w:rFonts w:ascii="仿宋" w:hAnsi="仿宋" w:eastAsia="仿宋" w:cs="仿宋"/>
                <w:kern w:val="2"/>
                <w:sz w:val="24"/>
                <w:szCs w:val="24"/>
                <w:highlight w:val="yellow"/>
                <w:lang w:eastAsia="zh-CN"/>
              </w:rPr>
            </w:pPr>
            <w:r>
              <w:rPr>
                <w:rFonts w:hint="eastAsia" w:ascii="仿宋" w:hAnsi="仿宋" w:eastAsia="仿宋" w:cs="仿宋"/>
                <w:kern w:val="2"/>
                <w:sz w:val="24"/>
                <w:szCs w:val="24"/>
                <w:highlight w:val="none"/>
                <w:lang w:eastAsia="zh-CN"/>
              </w:rPr>
              <w:t>根据需求，项目前期可以提供相关宣贯培训，过程中采用多样性形式对</w:t>
            </w:r>
            <w:r>
              <w:rPr>
                <w:rFonts w:hint="eastAsia" w:ascii="仿宋" w:hAnsi="仿宋" w:eastAsia="仿宋" w:cs="仿宋"/>
                <w:kern w:val="2"/>
                <w:sz w:val="24"/>
                <w:szCs w:val="24"/>
                <w:highlight w:val="none"/>
                <w:lang w:val="en-US" w:eastAsia="zh-CN"/>
              </w:rPr>
              <w:t>公司</w:t>
            </w:r>
            <w:r>
              <w:rPr>
                <w:rFonts w:hint="eastAsia" w:ascii="仿宋" w:hAnsi="仿宋" w:eastAsia="仿宋" w:cs="仿宋"/>
                <w:kern w:val="2"/>
                <w:sz w:val="24"/>
                <w:szCs w:val="24"/>
                <w:highlight w:val="none"/>
                <w:lang w:eastAsia="zh-CN"/>
              </w:rPr>
              <w:t>相关工作人员</w:t>
            </w:r>
            <w:r>
              <w:rPr>
                <w:rFonts w:hint="eastAsia" w:ascii="仿宋" w:hAnsi="仿宋" w:eastAsia="仿宋" w:cs="仿宋"/>
                <w:kern w:val="2"/>
                <w:sz w:val="24"/>
                <w:szCs w:val="24"/>
                <w:highlight w:val="none"/>
                <w:lang w:val="en-US" w:eastAsia="zh-CN"/>
              </w:rPr>
              <w:t>开展业务管理</w:t>
            </w:r>
            <w:r>
              <w:rPr>
                <w:rFonts w:hint="eastAsia" w:ascii="仿宋" w:hAnsi="仿宋" w:eastAsia="仿宋" w:cs="仿宋"/>
                <w:kern w:val="2"/>
                <w:sz w:val="24"/>
                <w:szCs w:val="24"/>
                <w:highlight w:val="none"/>
                <w:lang w:eastAsia="zh-CN"/>
              </w:rPr>
              <w:t>交流。项目收尾要有落地培训不少于</w:t>
            </w:r>
            <w:r>
              <w:rPr>
                <w:rFonts w:hint="eastAsia" w:ascii="Times New Roman" w:hAnsi="Times New Roman" w:eastAsia="仿宋" w:cs="仿宋"/>
                <w:kern w:val="2"/>
                <w:sz w:val="24"/>
                <w:szCs w:val="24"/>
                <w:highlight w:val="none"/>
                <w:lang w:eastAsia="zh-CN"/>
              </w:rPr>
              <w:t>2</w:t>
            </w:r>
            <w:r>
              <w:rPr>
                <w:rFonts w:hint="eastAsia" w:ascii="仿宋" w:hAnsi="仿宋" w:eastAsia="仿宋" w:cs="仿宋"/>
                <w:kern w:val="2"/>
                <w:sz w:val="24"/>
                <w:szCs w:val="24"/>
                <w:highlight w:val="none"/>
                <w:lang w:eastAsia="zh-CN"/>
              </w:rPr>
              <w:t>次，以确保知识转化。（明确培训方案，包含培训内容、培训对象、培训时间安排等，并提供培训资料）</w:t>
            </w:r>
          </w:p>
        </w:tc>
      </w:tr>
    </w:tbl>
    <w:p>
      <w:pPr>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五</w:t>
      </w: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服务质量要求</w:t>
      </w:r>
    </w:p>
    <w:p>
      <w:pPr>
        <w:keepNext w:val="0"/>
        <w:keepLines w:val="0"/>
        <w:pageBreakBefore w:val="0"/>
        <w:wordWrap/>
        <w:overflowPunct/>
        <w:topLinePunct w:val="0"/>
        <w:bidi w:val="0"/>
        <w:spacing w:line="578" w:lineRule="exact"/>
        <w:ind w:firstLine="640" w:firstLineChars="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bidi="ar-SA"/>
        </w:rPr>
        <w:t>建设过程中应当开展对标分析、并与</w:t>
      </w:r>
      <w:r>
        <w:rPr>
          <w:rFonts w:hint="default" w:ascii="仿宋_GB2312" w:hAnsi="仿宋_GB2312" w:cs="仿宋_GB2312"/>
          <w:b w:val="0"/>
          <w:bCs w:val="0"/>
          <w:sz w:val="32"/>
          <w:szCs w:val="32"/>
          <w:highlight w:val="none"/>
          <w:lang w:eastAsia="zh-CN" w:bidi="ar-SA"/>
        </w:rPr>
        <w:t>金财</w:t>
      </w:r>
      <w:r>
        <w:rPr>
          <w:rFonts w:hint="eastAsia" w:ascii="仿宋_GB2312" w:hAnsi="仿宋_GB2312" w:eastAsia="仿宋_GB2312" w:cs="仿宋_GB2312"/>
          <w:b w:val="0"/>
          <w:bCs w:val="0"/>
          <w:sz w:val="32"/>
          <w:szCs w:val="32"/>
          <w:highlight w:val="none"/>
          <w:lang w:val="en-US" w:eastAsia="zh-CN" w:bidi="ar-SA"/>
        </w:rPr>
        <w:t>公司中高层管理人员及业务</w:t>
      </w:r>
      <w:r>
        <w:rPr>
          <w:rFonts w:hint="default" w:ascii="仿宋_GB2312" w:hAnsi="仿宋_GB2312" w:cs="仿宋_GB2312"/>
          <w:b w:val="0"/>
          <w:bCs w:val="0"/>
          <w:sz w:val="32"/>
          <w:szCs w:val="32"/>
          <w:highlight w:val="none"/>
          <w:lang w:eastAsia="zh-CN" w:bidi="ar-SA"/>
        </w:rPr>
        <w:t>骨干</w:t>
      </w:r>
      <w:r>
        <w:rPr>
          <w:rFonts w:hint="eastAsia" w:ascii="仿宋_GB2312" w:hAnsi="仿宋_GB2312" w:eastAsia="仿宋_GB2312" w:cs="仿宋_GB2312"/>
          <w:b w:val="0"/>
          <w:bCs w:val="0"/>
          <w:sz w:val="32"/>
          <w:szCs w:val="32"/>
          <w:highlight w:val="none"/>
          <w:lang w:val="en-US" w:eastAsia="zh-CN" w:bidi="ar-SA"/>
        </w:rPr>
        <w:t>人员开展调研访谈与业务逻辑分析，内部制度体系建设成果应是单位实际管理需求的体现。要确保管理需求能够落实到执行层面，应针对制度成果文件开展落地培训，</w:t>
      </w:r>
      <w:r>
        <w:rPr>
          <w:rFonts w:hint="eastAsia" w:ascii="仿宋_GB2312" w:hAnsi="仿宋_GB2312" w:cs="仿宋_GB2312"/>
          <w:b w:val="0"/>
          <w:bCs w:val="0"/>
          <w:sz w:val="32"/>
          <w:szCs w:val="32"/>
          <w:highlight w:val="none"/>
          <w:lang w:val="en-US" w:eastAsia="zh-CN" w:bidi="ar-SA"/>
        </w:rPr>
        <w:t>提供</w:t>
      </w:r>
      <w:r>
        <w:rPr>
          <w:rFonts w:hint="eastAsia" w:ascii="Times New Roman" w:hAnsi="Times New Roman" w:cs="仿宋_GB2312"/>
          <w:b w:val="0"/>
          <w:bCs w:val="0"/>
          <w:sz w:val="32"/>
          <w:szCs w:val="32"/>
          <w:highlight w:val="none"/>
          <w:lang w:val="en-US" w:eastAsia="zh-CN" w:bidi="ar-SA"/>
        </w:rPr>
        <w:t>６</w:t>
      </w:r>
      <w:r>
        <w:rPr>
          <w:rFonts w:hint="eastAsia" w:ascii="仿宋_GB2312" w:hAnsi="仿宋_GB2312" w:cs="仿宋_GB2312"/>
          <w:b w:val="0"/>
          <w:bCs w:val="0"/>
          <w:sz w:val="32"/>
          <w:szCs w:val="32"/>
          <w:highlight w:val="none"/>
          <w:lang w:val="en-US" w:eastAsia="zh-CN" w:bidi="ar-SA"/>
        </w:rPr>
        <w:t>个月</w:t>
      </w:r>
      <w:r>
        <w:rPr>
          <w:rFonts w:hint="eastAsia" w:ascii="仿宋_GB2312" w:hAnsi="仿宋_GB2312" w:eastAsia="仿宋_GB2312" w:cs="仿宋_GB2312"/>
          <w:b w:val="0"/>
          <w:bCs w:val="0"/>
          <w:sz w:val="32"/>
          <w:szCs w:val="32"/>
          <w:highlight w:val="none"/>
          <w:lang w:val="en-US" w:eastAsia="zh-CN" w:bidi="ar-SA"/>
        </w:rPr>
        <w:t>辅导期</w:t>
      </w:r>
      <w:r>
        <w:rPr>
          <w:rFonts w:hint="eastAsia" w:ascii="仿宋_GB2312" w:hAnsi="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协助采购人在实操中出现的偏差给予及时纠正或调整。同时应实现制度文件及实施细则与公司已有业务系统的有效衔接，协助系统建设方按制度文件规则进行植入。</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zh-TW" w:eastAsia="zh-CN" w:bidi="ar-SA"/>
        </w:rPr>
      </w:pP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六</w:t>
      </w:r>
      <w:r>
        <w:rPr>
          <w:rFonts w:hint="eastAsia" w:ascii="楷体" w:hAnsi="楷体" w:eastAsia="楷体" w:cs="楷体"/>
          <w:b/>
          <w:bCs/>
          <w:sz w:val="32"/>
          <w:szCs w:val="32"/>
          <w:highlight w:val="none"/>
          <w:lang w:val="zh-TW" w:eastAsia="zh-CN" w:bidi="ar-SA"/>
        </w:rPr>
        <w:t>）人员</w:t>
      </w:r>
      <w:r>
        <w:rPr>
          <w:rFonts w:hint="eastAsia" w:ascii="楷体" w:hAnsi="楷体" w:eastAsia="楷体" w:cs="楷体"/>
          <w:b/>
          <w:bCs/>
          <w:sz w:val="32"/>
          <w:szCs w:val="32"/>
          <w:highlight w:val="none"/>
          <w:lang w:val="en-US" w:eastAsia="zh-CN" w:bidi="ar-SA"/>
        </w:rPr>
        <w:t>和驻场</w:t>
      </w:r>
      <w:r>
        <w:rPr>
          <w:rFonts w:hint="eastAsia" w:ascii="楷体" w:hAnsi="楷体" w:eastAsia="楷体" w:cs="楷体"/>
          <w:b/>
          <w:bCs/>
          <w:sz w:val="32"/>
          <w:szCs w:val="32"/>
          <w:highlight w:val="none"/>
          <w:lang w:val="zh-TW" w:eastAsia="zh-CN" w:bidi="ar-SA"/>
        </w:rPr>
        <w:t>要求</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配置具备丰富相关经验的专业团队，保障交付成果质量与可落地性。本项目</w:t>
      </w:r>
      <w:r>
        <w:rPr>
          <w:rFonts w:hint="default" w:ascii="仿宋_GB2312" w:hAnsi="仿宋_GB2312" w:cs="仿宋_GB2312"/>
          <w:sz w:val="32"/>
          <w:szCs w:val="32"/>
          <w:highlight w:val="none"/>
          <w:lang w:eastAsia="zh-CN"/>
        </w:rPr>
        <w:t>供应商</w:t>
      </w:r>
      <w:r>
        <w:rPr>
          <w:rFonts w:hint="eastAsia" w:ascii="仿宋_GB2312" w:hAnsi="仿宋_GB2312" w:cs="仿宋_GB2312"/>
          <w:sz w:val="32"/>
          <w:szCs w:val="32"/>
          <w:highlight w:val="none"/>
          <w:lang w:val="en-US" w:eastAsia="zh-CN"/>
        </w:rPr>
        <w:t>至少提供</w:t>
      </w:r>
      <w:r>
        <w:rPr>
          <w:rFonts w:hint="eastAsia" w:ascii="Times New Roman" w:hAnsi="Times New Roman" w:cs="仿宋_GB2312"/>
          <w:sz w:val="32"/>
          <w:szCs w:val="32"/>
          <w:highlight w:val="none"/>
          <w:lang w:val="en-US" w:eastAsia="zh-CN"/>
        </w:rPr>
        <w:t>1</w:t>
      </w:r>
      <w:r>
        <w:rPr>
          <w:rFonts w:hint="eastAsia" w:ascii="仿宋_GB2312" w:hAnsi="仿宋_GB2312" w:cs="仿宋_GB2312"/>
          <w:sz w:val="32"/>
          <w:szCs w:val="32"/>
          <w:highlight w:val="none"/>
          <w:lang w:val="en-US" w:eastAsia="zh-CN"/>
        </w:rPr>
        <w:t>名项目负责人和</w:t>
      </w:r>
      <w:r>
        <w:rPr>
          <w:rFonts w:hint="eastAsia" w:ascii="Times New Roman" w:hAnsi="Times New Roman" w:cs="仿宋_GB2312"/>
          <w:sz w:val="32"/>
          <w:szCs w:val="32"/>
          <w:highlight w:val="none"/>
          <w:lang w:val="en-US" w:eastAsia="zh-CN"/>
        </w:rPr>
        <w:t>2</w:t>
      </w:r>
      <w:r>
        <w:rPr>
          <w:rFonts w:hint="eastAsia" w:ascii="仿宋_GB2312" w:hAnsi="仿宋_GB2312" w:cs="仿宋_GB2312"/>
          <w:sz w:val="32"/>
          <w:szCs w:val="32"/>
          <w:highlight w:val="none"/>
          <w:lang w:val="en-US" w:eastAsia="zh-CN"/>
        </w:rPr>
        <w:t>名项目成员</w:t>
      </w:r>
      <w:r>
        <w:rPr>
          <w:rFonts w:hint="default" w:ascii="仿宋_GB2312" w:hAnsi="仿宋_GB2312" w:cs="仿宋_GB2312"/>
          <w:sz w:val="32"/>
          <w:szCs w:val="32"/>
          <w:highlight w:val="none"/>
          <w:lang w:eastAsia="zh-CN"/>
        </w:rPr>
        <w:t>，</w:t>
      </w:r>
      <w:r>
        <w:rPr>
          <w:rFonts w:hint="eastAsia" w:ascii="仿宋_GB2312" w:hAnsi="仿宋_GB2312" w:cs="仿宋_GB2312"/>
          <w:sz w:val="32"/>
          <w:szCs w:val="32"/>
          <w:highlight w:val="none"/>
          <w:lang w:eastAsia="zh-CN"/>
        </w:rPr>
        <w:t>为本项目提供的现场驻点服务应不少于</w:t>
      </w:r>
      <w:r>
        <w:rPr>
          <w:rFonts w:hint="eastAsia" w:ascii="Times New Roman" w:hAnsi="Times New Roman" w:cs="仿宋_GB2312"/>
          <w:sz w:val="32"/>
          <w:szCs w:val="32"/>
          <w:highlight w:val="none"/>
          <w:lang w:eastAsia="zh-CN"/>
        </w:rPr>
        <w:t>30</w:t>
      </w:r>
      <w:r>
        <w:rPr>
          <w:rFonts w:hint="eastAsia" w:ascii="仿宋_GB2312" w:hAnsi="仿宋_GB2312" w:cs="仿宋_GB2312"/>
          <w:sz w:val="32"/>
          <w:szCs w:val="32"/>
          <w:highlight w:val="none"/>
          <w:lang w:eastAsia="zh-CN"/>
        </w:rPr>
        <w:t>天。</w:t>
      </w:r>
    </w:p>
    <w:p>
      <w:pPr>
        <w:keepNext w:val="0"/>
        <w:keepLines w:val="0"/>
        <w:pageBreakBefore w:val="0"/>
        <w:wordWrap/>
        <w:overflowPunct/>
        <w:topLinePunct w:val="0"/>
        <w:bidi w:val="0"/>
        <w:spacing w:line="578" w:lineRule="exact"/>
        <w:ind w:firstLine="640"/>
        <w:rPr>
          <w:rFonts w:hint="default" w:ascii="仿宋_GB2312" w:hAnsi="仿宋_GB2312" w:cs="仿宋_GB2312"/>
          <w:sz w:val="32"/>
          <w:szCs w:val="32"/>
          <w:highlight w:val="none"/>
          <w:lang w:eastAsia="zh-CN"/>
        </w:rPr>
      </w:pPr>
      <w:r>
        <w:rPr>
          <w:rFonts w:hint="eastAsia" w:ascii="楷体" w:hAnsi="楷体" w:eastAsia="楷体" w:cs="楷体"/>
          <w:b/>
          <w:bCs/>
          <w:sz w:val="32"/>
          <w:szCs w:val="32"/>
          <w:highlight w:val="none"/>
          <w:lang w:val="zh-TW" w:eastAsia="zh-CN"/>
        </w:rPr>
        <w:t>（</w:t>
      </w:r>
      <w:r>
        <w:rPr>
          <w:rFonts w:hint="eastAsia" w:ascii="楷体" w:hAnsi="楷体" w:eastAsia="楷体" w:cs="楷体"/>
          <w:b/>
          <w:bCs/>
          <w:sz w:val="32"/>
          <w:szCs w:val="32"/>
          <w:highlight w:val="none"/>
          <w:lang w:val="en-US" w:eastAsia="zh-CN"/>
        </w:rPr>
        <w:t>七</w:t>
      </w:r>
      <w:r>
        <w:rPr>
          <w:rFonts w:hint="eastAsia" w:ascii="楷体" w:hAnsi="楷体" w:eastAsia="楷体" w:cs="楷体"/>
          <w:b/>
          <w:bCs/>
          <w:sz w:val="32"/>
          <w:szCs w:val="32"/>
          <w:highlight w:val="none"/>
          <w:lang w:val="zh-TW" w:eastAsia="zh-CN"/>
        </w:rPr>
        <w:t>）验收要求</w:t>
      </w:r>
    </w:p>
    <w:p>
      <w:pPr>
        <w:keepNext w:val="0"/>
        <w:keepLines w:val="0"/>
        <w:pageBreakBefore w:val="0"/>
        <w:wordWrap/>
        <w:overflowPunct/>
        <w:topLinePunct w:val="0"/>
        <w:bidi w:val="0"/>
        <w:spacing w:line="578" w:lineRule="exact"/>
        <w:ind w:firstLine="640"/>
        <w:rPr>
          <w:rFonts w:hint="default" w:ascii="仿宋_GB2312" w:hAnsi="仿宋_GB2312" w:cs="仿宋_GB2312"/>
          <w:sz w:val="32"/>
          <w:szCs w:val="32"/>
          <w:highlight w:val="none"/>
          <w:lang w:eastAsia="zh-CN"/>
        </w:rPr>
      </w:pPr>
      <w:r>
        <w:rPr>
          <w:rFonts w:hint="default" w:ascii="仿宋_GB2312" w:hAnsi="仿宋_GB2312" w:cs="仿宋_GB2312"/>
          <w:sz w:val="32"/>
          <w:szCs w:val="32"/>
          <w:highlight w:val="none"/>
          <w:lang w:eastAsia="zh-CN"/>
        </w:rPr>
        <w:t>采购内容中的相关制度经采购人印发后，按以下材料组织验收：</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Times New Roman" w:hAnsi="Times New Roman" w:cs="仿宋_GB2312"/>
          <w:sz w:val="32"/>
          <w:szCs w:val="32"/>
          <w:highlight w:val="none"/>
          <w:lang w:val="en-US" w:eastAsia="zh-CN"/>
        </w:rPr>
        <w:t>1</w:t>
      </w:r>
      <w:r>
        <w:rPr>
          <w:rFonts w:hint="eastAsia" w:ascii="仿宋_GB2312" w:hAnsi="仿宋_GB2312" w:cs="仿宋_GB2312"/>
          <w:sz w:val="32"/>
          <w:szCs w:val="32"/>
          <w:highlight w:val="none"/>
          <w:lang w:val="en-US" w:eastAsia="zh-CN"/>
        </w:rPr>
        <w:t>.</w:t>
      </w:r>
      <w:r>
        <w:rPr>
          <w:rFonts w:hint="eastAsia" w:ascii="仿宋_GB2312" w:hAnsi="仿宋_GB2312" w:cs="仿宋_GB2312"/>
          <w:sz w:val="32"/>
          <w:szCs w:val="32"/>
          <w:highlight w:val="none"/>
          <w:lang w:eastAsia="zh-CN"/>
        </w:rPr>
        <w:t>提交项目咨询服务报告；</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Times New Roman" w:hAnsi="Times New Roman" w:cs="仿宋_GB2312"/>
          <w:sz w:val="32"/>
          <w:szCs w:val="32"/>
          <w:highlight w:val="none"/>
          <w:lang w:val="en-US" w:eastAsia="zh-CN"/>
        </w:rPr>
        <w:t>2</w:t>
      </w:r>
      <w:r>
        <w:rPr>
          <w:rFonts w:hint="eastAsia" w:ascii="仿宋_GB2312" w:hAnsi="仿宋_GB2312" w:cs="仿宋_GB2312"/>
          <w:sz w:val="32"/>
          <w:szCs w:val="32"/>
          <w:highlight w:val="none"/>
          <w:lang w:val="en-US" w:eastAsia="zh-CN"/>
        </w:rPr>
        <w:t>.</w:t>
      </w:r>
      <w:r>
        <w:rPr>
          <w:rFonts w:hint="eastAsia" w:ascii="仿宋_GB2312" w:hAnsi="仿宋_GB2312" w:cs="仿宋_GB2312"/>
          <w:sz w:val="32"/>
          <w:szCs w:val="32"/>
          <w:highlight w:val="none"/>
          <w:lang w:eastAsia="zh-CN"/>
        </w:rPr>
        <w:t>输出成果符合</w:t>
      </w:r>
      <w:r>
        <w:rPr>
          <w:rFonts w:hint="eastAsia" w:ascii="仿宋_GB2312" w:hAnsi="仿宋_GB2312" w:cs="仿宋_GB2312"/>
          <w:sz w:val="32"/>
          <w:szCs w:val="32"/>
          <w:highlight w:val="none"/>
          <w:lang w:val="en-US" w:eastAsia="zh-CN"/>
        </w:rPr>
        <w:t>第三点</w:t>
      </w:r>
      <w:r>
        <w:rPr>
          <w:rFonts w:hint="eastAsia" w:ascii="仿宋_GB2312" w:hAnsi="仿宋_GB2312" w:cs="仿宋_GB2312"/>
          <w:sz w:val="32"/>
          <w:szCs w:val="32"/>
          <w:highlight w:val="none"/>
          <w:lang w:eastAsia="zh-CN"/>
        </w:rPr>
        <w:t>项目服务成果要求；</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Times New Roman" w:hAnsi="Times New Roman" w:cs="仿宋_GB2312"/>
          <w:sz w:val="32"/>
          <w:szCs w:val="32"/>
          <w:highlight w:val="none"/>
          <w:lang w:val="en-US" w:eastAsia="zh-CN"/>
        </w:rPr>
        <w:t>3</w:t>
      </w:r>
      <w:r>
        <w:rPr>
          <w:rFonts w:hint="eastAsia" w:ascii="仿宋_GB2312" w:hAnsi="仿宋_GB2312" w:cs="仿宋_GB2312"/>
          <w:sz w:val="32"/>
          <w:szCs w:val="32"/>
          <w:highlight w:val="none"/>
          <w:lang w:val="en-US" w:eastAsia="zh-CN"/>
        </w:rPr>
        <w:t>.</w:t>
      </w:r>
      <w:r>
        <w:rPr>
          <w:rFonts w:hint="eastAsia" w:ascii="仿宋_GB2312" w:hAnsi="仿宋_GB2312" w:cs="仿宋_GB2312"/>
          <w:sz w:val="32"/>
          <w:szCs w:val="32"/>
          <w:highlight w:val="none"/>
          <w:lang w:eastAsia="zh-CN"/>
        </w:rPr>
        <w:t>项目实施计划、项目输出成果等文档齐全。成果文档格式包含但不限于文字、图片、音频及视频等。如为纸质版资料的，应有相应的电子版；</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Times New Roman" w:hAnsi="Times New Roman" w:cs="仿宋_GB2312"/>
          <w:sz w:val="32"/>
          <w:szCs w:val="32"/>
          <w:highlight w:val="none"/>
          <w:lang w:val="en-US" w:eastAsia="zh-CN"/>
        </w:rPr>
        <w:t>4</w:t>
      </w:r>
      <w:r>
        <w:rPr>
          <w:rFonts w:hint="eastAsia" w:ascii="仿宋_GB2312" w:hAnsi="仿宋_GB2312" w:cs="仿宋_GB2312"/>
          <w:sz w:val="32"/>
          <w:szCs w:val="32"/>
          <w:highlight w:val="none"/>
          <w:lang w:eastAsia="zh-CN"/>
        </w:rPr>
        <w:t>.最终以双方签订《验收证明》为项目验收依据。</w:t>
      </w:r>
    </w:p>
    <w:p>
      <w:pPr>
        <w:keepNext w:val="0"/>
        <w:keepLines w:val="0"/>
        <w:pageBreakBefore w:val="0"/>
        <w:widowControl w:val="0"/>
        <w:wordWrap/>
        <w:overflowPunct/>
        <w:topLinePunct w:val="0"/>
        <w:bidi w:val="0"/>
        <w:adjustRightInd w:val="0"/>
        <w:snapToGrid w:val="0"/>
        <w:spacing w:line="578" w:lineRule="exact"/>
        <w:ind w:firstLine="0" w:firstLineChars="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　　三</w:t>
      </w:r>
      <w:r>
        <w:rPr>
          <w:rFonts w:hint="eastAsia" w:ascii="黑体" w:hAnsi="黑体" w:eastAsia="黑体" w:cs="黑体"/>
          <w:sz w:val="32"/>
          <w:szCs w:val="32"/>
          <w:highlight w:val="none"/>
          <w:lang w:eastAsia="zh-CN"/>
        </w:rPr>
        <w:t>、供应商资格要求</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对供应商的主体资格、纳税记录、社保记录、财务状况证明文件、特定资格条件、信誉、合作响应等提出以下要求，供应商应提供满足以下要求的公开检索路径、合同等证明材料，若无证明材料应提供书面承诺函，保证所做陈述的真实、准确、完整、无误导。材料提供必须做到逐项对照，即证明材料与每项资格要求一一对应，不遗漏任一资格要求且不重复提交证明材料，并填写业绩证明一览表。</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（一）主体资格</w:t>
      </w:r>
    </w:p>
    <w:p>
      <w:pPr>
        <w:keepNext w:val="0"/>
        <w:keepLines w:val="0"/>
        <w:pageBreakBefore w:val="0"/>
        <w:wordWrap/>
        <w:overflowPunct/>
        <w:topLinePunct w:val="0"/>
        <w:bidi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供应商应在境内依法登记注册，具有独立法人资格或独立承担民事责任的能力，须提供营业执照副本复印件加盖公章。</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（二）纳税记录</w:t>
      </w:r>
    </w:p>
    <w:p>
      <w:pPr>
        <w:keepNext w:val="0"/>
        <w:keepLines w:val="0"/>
        <w:pageBreakBefore w:val="0"/>
        <w:wordWrap/>
        <w:overflowPunct/>
        <w:topLinePunct w:val="0"/>
        <w:bidi w:val="0"/>
        <w:spacing w:after="0" w:line="578" w:lineRule="exact"/>
        <w:ind w:firstLine="640"/>
        <w:jc w:val="both"/>
        <w:rPr>
          <w:rFonts w:ascii="楷体_GB2312" w:hAnsi="楷体_GB2312" w:eastAsia="楷体_GB2312" w:cs="楷体_GB2312"/>
          <w:sz w:val="32"/>
          <w:szCs w:val="32"/>
          <w:highlight w:val="none"/>
          <w:lang w:eastAsia="zh-CN"/>
        </w:rPr>
      </w:pPr>
      <w:r>
        <w:rPr>
          <w:rFonts w:hint="eastAsia" w:ascii="仿宋_GB2312" w:hAnsi="仿宋_GB2312" w:cs="仿宋_GB2312"/>
          <w:sz w:val="32"/>
          <w:szCs w:val="32"/>
          <w:highlight w:val="none"/>
          <w:lang w:eastAsia="zh-CN"/>
        </w:rPr>
        <w:t>供应商应提供距响应文件递交截止时间止一年内的至少一次纳税记录。</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（三）社保记录</w:t>
      </w:r>
    </w:p>
    <w:p>
      <w:pPr>
        <w:keepNext w:val="0"/>
        <w:keepLines w:val="0"/>
        <w:pageBreakBefore w:val="0"/>
        <w:wordWrap/>
        <w:overflowPunct/>
        <w:topLinePunct w:val="0"/>
        <w:bidi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供应商应提供距响应文件递交截止时间止一年内的至少一次社保记录。</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（四）财务状况证明文件</w:t>
      </w:r>
    </w:p>
    <w:p>
      <w:pPr>
        <w:keepNext w:val="0"/>
        <w:keepLines w:val="0"/>
        <w:pageBreakBefore w:val="0"/>
        <w:wordWrap/>
        <w:overflowPunct/>
        <w:topLinePunct w:val="0"/>
        <w:bidi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供应商提供会计师事务所出具的</w:t>
      </w:r>
      <w:r>
        <w:rPr>
          <w:rFonts w:hint="eastAsia" w:ascii="Times New Roman" w:hAnsi="Times New Roman" w:cs="仿宋_GB2312"/>
          <w:sz w:val="32"/>
          <w:szCs w:val="32"/>
          <w:highlight w:val="none"/>
          <w:lang w:eastAsia="zh-CN"/>
        </w:rPr>
        <w:t>2024</w:t>
      </w:r>
      <w:r>
        <w:rPr>
          <w:rFonts w:hint="eastAsia" w:ascii="仿宋_GB2312" w:hAnsi="仿宋_GB2312" w:cs="仿宋_GB2312"/>
          <w:sz w:val="32"/>
          <w:szCs w:val="32"/>
          <w:highlight w:val="none"/>
          <w:lang w:eastAsia="zh-CN"/>
        </w:rPr>
        <w:t>年度财务审计报告或银行对本项目出具的资信证明。</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（五）</w:t>
      </w:r>
      <w:r>
        <w:rPr>
          <w:rFonts w:hint="default" w:ascii="楷体" w:hAnsi="楷体" w:eastAsia="楷体" w:cs="楷体"/>
          <w:b/>
          <w:bCs/>
          <w:sz w:val="32"/>
          <w:szCs w:val="32"/>
          <w:highlight w:val="none"/>
          <w:lang w:eastAsia="zh-CN" w:bidi="ar-SA"/>
        </w:rPr>
        <w:t>能力</w:t>
      </w:r>
      <w:r>
        <w:rPr>
          <w:rFonts w:hint="eastAsia" w:ascii="楷体" w:hAnsi="楷体" w:eastAsia="楷体" w:cs="楷体"/>
          <w:b/>
          <w:bCs/>
          <w:sz w:val="32"/>
          <w:szCs w:val="32"/>
          <w:highlight w:val="none"/>
          <w:lang w:val="en-US" w:eastAsia="zh-CN" w:bidi="ar-SA"/>
        </w:rPr>
        <w:t>要求</w:t>
      </w:r>
    </w:p>
    <w:p>
      <w:pPr>
        <w:keepNext w:val="0"/>
        <w:keepLines w:val="0"/>
        <w:pageBreakBefore w:val="0"/>
        <w:wordWrap/>
        <w:overflowPunct/>
        <w:topLinePunct w:val="0"/>
        <w:bidi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具备履行合同所必需的设备和专业技术能力，提供相关证明材料或书面承诺。书面承诺格式自拟，需加盖公章，承诺内容应体现供应商拥有完成本项目服务所需的设备和专业技术能力。</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（六）信誉要求</w:t>
      </w:r>
    </w:p>
    <w:p>
      <w:pPr>
        <w:keepNext w:val="0"/>
        <w:keepLines w:val="0"/>
        <w:pageBreakBefore w:val="0"/>
        <w:widowControl w:val="0"/>
        <w:numPr>
          <w:ilvl w:val="255"/>
          <w:numId w:val="0"/>
        </w:numPr>
        <w:wordWrap/>
        <w:overflowPunct/>
        <w:topLinePunct w:val="0"/>
        <w:bidi w:val="0"/>
        <w:adjustRightInd w:val="0"/>
        <w:snapToGrid w:val="0"/>
        <w:spacing w:after="0" w:line="578" w:lineRule="exact"/>
        <w:ind w:firstLine="640" w:firstLineChars="20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1</w:t>
      </w:r>
      <w:r>
        <w:rPr>
          <w:rFonts w:hint="eastAsia" w:ascii="仿宋_GB2312" w:hAnsi="仿宋_GB2312" w:cs="仿宋_GB2312"/>
          <w:sz w:val="32"/>
          <w:szCs w:val="32"/>
          <w:highlight w:val="none"/>
          <w:lang w:eastAsia="zh-CN"/>
        </w:rPr>
        <w:t>.未被责令停业，暂扣或吊销执照，或吊销资质证书；</w:t>
      </w:r>
    </w:p>
    <w:p>
      <w:pPr>
        <w:keepNext w:val="0"/>
        <w:keepLines w:val="0"/>
        <w:pageBreakBefore w:val="0"/>
        <w:widowControl w:val="0"/>
        <w:numPr>
          <w:ilvl w:val="255"/>
          <w:numId w:val="0"/>
        </w:numPr>
        <w:wordWrap/>
        <w:overflowPunct/>
        <w:topLinePunct w:val="0"/>
        <w:bidi w:val="0"/>
        <w:adjustRightInd w:val="0"/>
        <w:snapToGrid w:val="0"/>
        <w:spacing w:after="0" w:line="578" w:lineRule="exact"/>
        <w:ind w:firstLine="640" w:firstLineChars="20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2</w:t>
      </w:r>
      <w:r>
        <w:rPr>
          <w:rFonts w:hint="eastAsia" w:ascii="仿宋_GB2312" w:hAnsi="仿宋_GB2312" w:cs="仿宋_GB2312"/>
          <w:sz w:val="32"/>
          <w:szCs w:val="32"/>
          <w:highlight w:val="none"/>
          <w:lang w:eastAsia="zh-CN"/>
        </w:rPr>
        <w:t>.未进入清算程序，或被宣告破产，或其他丧失履约能力的情形；</w:t>
      </w:r>
    </w:p>
    <w:p>
      <w:pPr>
        <w:keepNext w:val="0"/>
        <w:keepLines w:val="0"/>
        <w:pageBreakBefore w:val="0"/>
        <w:widowControl w:val="0"/>
        <w:numPr>
          <w:ilvl w:val="255"/>
          <w:numId w:val="0"/>
        </w:numPr>
        <w:wordWrap/>
        <w:overflowPunct/>
        <w:topLinePunct w:val="0"/>
        <w:bidi w:val="0"/>
        <w:adjustRightInd w:val="0"/>
        <w:snapToGrid w:val="0"/>
        <w:spacing w:after="0" w:line="578" w:lineRule="exact"/>
        <w:ind w:firstLine="640" w:firstLineChars="20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3</w:t>
      </w:r>
      <w:r>
        <w:rPr>
          <w:rFonts w:hint="eastAsia" w:ascii="仿宋_GB2312" w:hAnsi="仿宋_GB2312" w:cs="仿宋_GB2312"/>
          <w:sz w:val="32"/>
          <w:szCs w:val="32"/>
          <w:highlight w:val="none"/>
          <w:lang w:eastAsia="zh-CN"/>
        </w:rPr>
        <w:t>.近三年内，在经营活动中没有违纪违法等不良记录；未被列入“信用中国”失信被执行人名单、政府采购不良行为记录名单、重大税收违法案件当事人名单及“中国政府采购网”政府采购严重违法失信名单。</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四、合同主要条款</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（一）当事人：海南</w:t>
      </w:r>
      <w:r>
        <w:rPr>
          <w:rFonts w:hint="eastAsia" w:ascii="仿宋_GB2312" w:hAnsi="仿宋_GB2312" w:cs="仿宋_GB2312"/>
          <w:sz w:val="32"/>
          <w:szCs w:val="32"/>
          <w:highlight w:val="none"/>
          <w:lang w:val="en-US" w:eastAsia="zh-CN"/>
        </w:rPr>
        <w:t>金财网络</w:t>
      </w:r>
      <w:r>
        <w:rPr>
          <w:rFonts w:hint="eastAsia" w:ascii="仿宋_GB2312" w:hAnsi="仿宋_GB2312" w:cs="仿宋_GB2312"/>
          <w:sz w:val="32"/>
          <w:szCs w:val="32"/>
          <w:highlight w:val="none"/>
          <w:lang w:eastAsia="zh-CN"/>
        </w:rPr>
        <w:t>技术有限公司、供应商；</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（二）采购内容：详见“二、采购内容”；</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（三）采购数量：</w:t>
      </w:r>
      <w:r>
        <w:rPr>
          <w:rFonts w:hint="eastAsia" w:ascii="Times New Roman" w:hAnsi="Times New Roman" w:cs="仿宋_GB2312"/>
          <w:sz w:val="32"/>
          <w:szCs w:val="32"/>
          <w:highlight w:val="none"/>
          <w:lang w:eastAsia="zh-CN"/>
        </w:rPr>
        <w:t>1</w:t>
      </w:r>
      <w:r>
        <w:rPr>
          <w:rFonts w:hint="eastAsia" w:ascii="仿宋_GB2312" w:hAnsi="仿宋_GB2312" w:cs="仿宋_GB2312"/>
          <w:sz w:val="32"/>
          <w:szCs w:val="32"/>
          <w:highlight w:val="none"/>
          <w:lang w:eastAsia="zh-CN"/>
        </w:rPr>
        <w:t>家供应商；</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（四）采购标准：详见“三、供应商资格要求”；</w:t>
      </w:r>
    </w:p>
    <w:p>
      <w:pPr>
        <w:keepNext w:val="0"/>
        <w:keepLines w:val="0"/>
        <w:pageBreakBefore w:val="0"/>
        <w:wordWrap/>
        <w:overflowPunct/>
        <w:topLinePunct w:val="0"/>
        <w:bidi w:val="0"/>
        <w:spacing w:after="0" w:line="578" w:lineRule="exact"/>
        <w:ind w:firstLine="640"/>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（五）采购预算：【</w:t>
      </w:r>
      <w:r>
        <w:rPr>
          <w:rFonts w:hint="eastAsia" w:ascii="Times New Roman" w:hAnsi="Times New Roman" w:cs="仿宋_GB2312"/>
          <w:sz w:val="32"/>
          <w:szCs w:val="32"/>
          <w:highlight w:val="none"/>
          <w:lang w:val="en-US" w:eastAsia="zh-CN"/>
        </w:rPr>
        <w:t>25</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万</w:t>
      </w:r>
      <w:r>
        <w:rPr>
          <w:rFonts w:hint="eastAsia" w:ascii="仿宋_GB2312" w:hAnsi="仿宋_GB2312" w:cs="仿宋_GB2312"/>
          <w:sz w:val="32"/>
          <w:szCs w:val="32"/>
          <w:highlight w:val="none"/>
          <w:lang w:eastAsia="zh-CN"/>
        </w:rPr>
        <w:t>元</w:t>
      </w:r>
      <w:r>
        <w:rPr>
          <w:rFonts w:hint="eastAsia" w:ascii="仿宋_GB2312" w:hAnsi="仿宋_GB2312" w:cs="仿宋_GB2312"/>
          <w:sz w:val="32"/>
          <w:szCs w:val="32"/>
          <w:highlight w:val="none"/>
          <w:lang w:val="zh-TW" w:eastAsia="zh-CN"/>
        </w:rPr>
        <w:t>（含税）；</w:t>
      </w:r>
    </w:p>
    <w:p>
      <w:pPr>
        <w:keepNext w:val="0"/>
        <w:keepLines w:val="0"/>
        <w:pageBreakBefore w:val="0"/>
        <w:wordWrap/>
        <w:overflowPunct/>
        <w:topLinePunct w:val="0"/>
        <w:bidi w:val="0"/>
        <w:spacing w:after="0" w:line="578" w:lineRule="exact"/>
        <w:ind w:firstLine="640"/>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（六）履行期限：</w:t>
      </w:r>
      <w:r>
        <w:rPr>
          <w:rFonts w:hint="eastAsia" w:ascii="Times New Roman" w:hAnsi="Times New Roman" w:cs="仿宋_GB2312"/>
          <w:sz w:val="32"/>
          <w:szCs w:val="32"/>
          <w:highlight w:val="none"/>
          <w:lang w:eastAsia="zh-CN"/>
        </w:rPr>
        <w:t>1</w:t>
      </w:r>
      <w:r>
        <w:rPr>
          <w:rFonts w:hint="eastAsia" w:ascii="仿宋_GB2312" w:hAnsi="仿宋_GB2312" w:cs="仿宋_GB2312"/>
          <w:sz w:val="32"/>
          <w:szCs w:val="32"/>
          <w:highlight w:val="none"/>
          <w:lang w:eastAsia="zh-CN"/>
        </w:rPr>
        <w:t>.服务期限:合同签订后，原则上</w:t>
      </w:r>
      <w:r>
        <w:rPr>
          <w:rFonts w:hint="eastAsia" w:ascii="Times New Roman" w:hAnsi="Times New Roman" w:cs="仿宋_GB2312"/>
          <w:sz w:val="32"/>
          <w:szCs w:val="32"/>
          <w:highlight w:val="none"/>
          <w:lang w:eastAsia="zh-CN"/>
        </w:rPr>
        <w:t>1</w:t>
      </w:r>
      <w:r>
        <w:rPr>
          <w:rFonts w:hint="eastAsia" w:ascii="仿宋_GB2312" w:hAnsi="仿宋_GB2312" w:cs="仿宋_GB2312"/>
          <w:sz w:val="32"/>
          <w:szCs w:val="32"/>
          <w:highlight w:val="none"/>
          <w:lang w:eastAsia="zh-CN"/>
        </w:rPr>
        <w:t>个月内完成项目实施。</w:t>
      </w:r>
      <w:r>
        <w:rPr>
          <w:rFonts w:hint="eastAsia" w:ascii="Times New Roman" w:hAnsi="Times New Roman" w:cs="仿宋_GB2312"/>
          <w:sz w:val="32"/>
          <w:szCs w:val="32"/>
          <w:highlight w:val="none"/>
          <w:lang w:eastAsia="zh-CN"/>
        </w:rPr>
        <w:t>2</w:t>
      </w:r>
      <w:r>
        <w:rPr>
          <w:rFonts w:hint="eastAsia" w:ascii="仿宋_GB2312" w:hAnsi="仿宋_GB2312" w:cs="仿宋_GB2312"/>
          <w:sz w:val="32"/>
          <w:szCs w:val="32"/>
          <w:highlight w:val="none"/>
          <w:lang w:eastAsia="zh-CN"/>
        </w:rPr>
        <w:t>.后续跟踪辅导期：自项目成果验收交接之日起，不少于</w:t>
      </w:r>
      <w:r>
        <w:rPr>
          <w:rFonts w:hint="eastAsia" w:ascii="Times New Roman" w:hAnsi="Times New Roman" w:cs="仿宋_GB2312"/>
          <w:sz w:val="32"/>
          <w:szCs w:val="32"/>
          <w:highlight w:val="none"/>
          <w:lang w:val="en-US" w:eastAsia="zh-CN"/>
        </w:rPr>
        <w:t>6</w:t>
      </w:r>
      <w:r>
        <w:rPr>
          <w:rFonts w:hint="eastAsia" w:ascii="仿宋_GB2312" w:hAnsi="仿宋_GB2312" w:cs="仿宋_GB2312"/>
          <w:sz w:val="32"/>
          <w:szCs w:val="32"/>
          <w:highlight w:val="none"/>
          <w:lang w:eastAsia="zh-CN"/>
        </w:rPr>
        <w:t>个月。</w:t>
      </w:r>
    </w:p>
    <w:p>
      <w:pPr>
        <w:keepNext w:val="0"/>
        <w:keepLines w:val="0"/>
        <w:pageBreakBefore w:val="0"/>
        <w:wordWrap/>
        <w:overflowPunct/>
        <w:topLinePunct w:val="0"/>
        <w:bidi w:val="0"/>
        <w:spacing w:after="0" w:line="578" w:lineRule="exact"/>
        <w:ind w:firstLine="64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七</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服务</w:t>
      </w:r>
      <w:r>
        <w:rPr>
          <w:rFonts w:hint="eastAsia" w:ascii="仿宋_GB2312" w:hAnsi="仿宋_GB2312" w:cs="仿宋_GB2312"/>
          <w:sz w:val="32"/>
          <w:szCs w:val="32"/>
          <w:highlight w:val="none"/>
          <w:lang w:eastAsia="zh-CN"/>
        </w:rPr>
        <w:t>地点和方式：</w:t>
      </w:r>
      <w:r>
        <w:rPr>
          <w:rFonts w:hint="eastAsia" w:ascii="仿宋_GB2312" w:hAnsi="仿宋_GB2312" w:cs="仿宋_GB2312"/>
          <w:sz w:val="32"/>
          <w:szCs w:val="32"/>
          <w:highlight w:val="none"/>
          <w:lang w:val="en-US" w:eastAsia="zh-CN"/>
        </w:rPr>
        <w:t>采购人指定</w:t>
      </w:r>
      <w:r>
        <w:rPr>
          <w:rFonts w:hint="default" w:ascii="仿宋_GB2312" w:hAnsi="仿宋_GB2312" w:cs="仿宋_GB2312"/>
          <w:sz w:val="32"/>
          <w:szCs w:val="32"/>
          <w:highlight w:val="none"/>
          <w:lang w:eastAsia="zh-CN"/>
        </w:rPr>
        <w:t>地点，驻场方式</w:t>
      </w:r>
      <w:r>
        <w:rPr>
          <w:rFonts w:hint="eastAsia" w:ascii="仿宋_GB2312" w:hAnsi="仿宋_GB2312" w:cs="仿宋_GB2312"/>
          <w:sz w:val="32"/>
          <w:szCs w:val="32"/>
          <w:highlight w:val="none"/>
          <w:lang w:val="en-US" w:eastAsia="zh-CN"/>
        </w:rPr>
        <w:t>。</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lang w:eastAsia="zh-CN"/>
        </w:rPr>
        <w:t>、响应文件</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zh-TW" w:eastAsia="zh-CN" w:bidi="ar-SA"/>
        </w:rPr>
        <w:t>（一）</w:t>
      </w:r>
      <w:r>
        <w:rPr>
          <w:rFonts w:hint="eastAsia" w:ascii="楷体" w:hAnsi="楷体" w:eastAsia="楷体" w:cs="楷体"/>
          <w:b/>
          <w:bCs/>
          <w:sz w:val="32"/>
          <w:szCs w:val="32"/>
          <w:highlight w:val="none"/>
          <w:lang w:val="en-US" w:eastAsia="zh-CN" w:bidi="ar-SA"/>
        </w:rPr>
        <w:t>响应文件提交</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供应商按照公告要求将资质材料及响应文件送达采购人。</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截止时间：</w:t>
      </w:r>
      <w:r>
        <w:rPr>
          <w:rFonts w:hint="eastAsia" w:ascii="Times New Roman" w:hAnsi="Times New Roman" w:cs="仿宋_GB2312"/>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年</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月</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 xml:space="preserve">日 </w:t>
      </w:r>
      <w:r>
        <w:rPr>
          <w:rFonts w:hint="eastAsia" w:ascii="Times New Roman" w:hAnsi="Times New Roman" w:cs="仿宋_GB2312"/>
          <w:color w:val="000000" w:themeColor="text1"/>
          <w:sz w:val="32"/>
          <w:szCs w:val="32"/>
          <w:highlight w:val="none"/>
          <w:lang w:eastAsia="zh-CN"/>
          <w14:textFill>
            <w14:solidFill>
              <w14:schemeClr w14:val="tx1"/>
            </w14:solidFill>
          </w14:textFill>
        </w:rPr>
        <w:t>1</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cs="仿宋_GB2312"/>
          <w:color w:val="000000" w:themeColor="text1"/>
          <w:sz w:val="32"/>
          <w:szCs w:val="32"/>
          <w:highlight w:val="none"/>
          <w:lang w:eastAsia="zh-CN"/>
          <w14:textFill>
            <w14:solidFill>
              <w14:schemeClr w14:val="tx1"/>
            </w14:solidFill>
          </w14:textFill>
        </w:rPr>
        <w:t>00</w:t>
      </w:r>
    </w:p>
    <w:p>
      <w:pPr>
        <w:pStyle w:val="5"/>
        <w:keepNext w:val="0"/>
        <w:keepLines w:val="0"/>
        <w:pageBreakBefore w:val="0"/>
        <w:widowControl/>
        <w:kinsoku w:val="0"/>
        <w:wordWrap/>
        <w:overflowPunct/>
        <w:topLinePunct w:val="0"/>
        <w:autoSpaceDE w:val="0"/>
        <w:autoSpaceDN w:val="0"/>
        <w:bidi w:val="0"/>
        <w:adjustRightInd w:val="0"/>
        <w:snapToGrid w:val="0"/>
        <w:spacing w:line="578" w:lineRule="exact"/>
        <w:ind w:left="25" w:right="16" w:firstLine="421"/>
        <w:jc w:val="both"/>
        <w:textAlignment w:val="baseline"/>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地址：海南省海口市滨海大道</w:t>
      </w:r>
      <w:r>
        <w:rPr>
          <w:rFonts w:hint="eastAsia" w:ascii="Times New Roman" w:hAnsi="Times New Roman" w:eastAsia="仿宋_GB2312" w:cs="仿宋_GB2312"/>
          <w:color w:val="000000" w:themeColor="text1"/>
          <w:sz w:val="32"/>
          <w:szCs w:val="32"/>
          <w:highlight w:val="none"/>
          <w:lang w:val="en-US" w:eastAsia="zh-CN" w:bidi="ar-SA"/>
          <w14:textFill>
            <w14:solidFill>
              <w14:schemeClr w14:val="tx1"/>
            </w14:solidFill>
          </w14:textFill>
        </w:rPr>
        <w:t>109</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bidi="ar-SA"/>
          <w14:textFill>
            <w14:solidFill>
              <w14:schemeClr w14:val="tx1"/>
            </w14:solidFill>
          </w14:textFill>
        </w:rPr>
        <w:t>9</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号海航国际广场</w:t>
      </w:r>
      <w:r>
        <w:rPr>
          <w:rFonts w:hint="eastAsia" w:ascii="Times New Roman" w:hAnsi="Times New Roman" w:eastAsia="仿宋_GB2312" w:cs="仿宋_GB2312"/>
          <w:color w:val="000000" w:themeColor="text1"/>
          <w:sz w:val="32"/>
          <w:szCs w:val="32"/>
          <w:highlight w:val="none"/>
          <w:lang w:val="en-US" w:eastAsia="zh-CN" w:bidi="ar-SA"/>
          <w14:textFill>
            <w14:solidFill>
              <w14:schemeClr w14:val="tx1"/>
            </w14:solidFill>
          </w14:textFill>
        </w:rPr>
        <w:t>A</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座</w:t>
      </w:r>
      <w:r>
        <w:rPr>
          <w:rFonts w:hint="eastAsia" w:ascii="Times New Roman" w:hAnsi="Times New Roman" w:eastAsia="仿宋_GB2312" w:cs="仿宋_GB2312"/>
          <w:color w:val="000000" w:themeColor="text1"/>
          <w:sz w:val="32"/>
          <w:szCs w:val="32"/>
          <w:highlight w:val="none"/>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层</w:t>
      </w:r>
      <w:r>
        <w:rPr>
          <w:rFonts w:hint="eastAsia" w:ascii="Times New Roman" w:hAnsi="Times New Roman" w:eastAsia="仿宋_GB2312" w:cs="仿宋_GB2312"/>
          <w:color w:val="000000" w:themeColor="text1"/>
          <w:sz w:val="32"/>
          <w:szCs w:val="32"/>
          <w:highlight w:val="none"/>
          <w:lang w:val="en-US" w:eastAsia="zh-CN" w:bidi="ar-SA"/>
          <w14:textFill>
            <w14:solidFill>
              <w14:schemeClr w14:val="tx1"/>
            </w14:solidFill>
          </w14:textFill>
        </w:rPr>
        <w:t>701</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房</w:t>
      </w:r>
    </w:p>
    <w:p>
      <w:pPr>
        <w:keepNext w:val="0"/>
        <w:keepLines w:val="0"/>
        <w:pageBreakBefore w:val="0"/>
        <w:widowControl w:val="0"/>
        <w:wordWrap/>
        <w:overflowPunct/>
        <w:topLinePunct w:val="0"/>
        <w:bidi w:val="0"/>
        <w:adjustRightInd w:val="0"/>
        <w:snapToGrid w:val="0"/>
        <w:spacing w:after="0" w:line="578" w:lineRule="exact"/>
        <w:ind w:firstLine="640"/>
        <w:jc w:val="both"/>
        <w:rPr>
          <w:rFonts w:hint="default" w:ascii="仿宋_GB2312" w:hAnsi="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电话：</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 xml:space="preserve">陈女士 </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19389907296</w:t>
      </w:r>
    </w:p>
    <w:p>
      <w:pPr>
        <w:keepNext w:val="0"/>
        <w:keepLines w:val="0"/>
        <w:pageBreakBefore w:val="0"/>
        <w:widowControl w:val="0"/>
        <w:wordWrap/>
        <w:overflowPunct/>
        <w:topLinePunct w:val="0"/>
        <w:bidi w:val="0"/>
        <w:adjustRightInd w:val="0"/>
        <w:snapToGrid w:val="0"/>
        <w:spacing w:after="0" w:line="578" w:lineRule="exact"/>
        <w:ind w:firstLine="640"/>
        <w:jc w:val="both"/>
        <w:rPr>
          <w:rFonts w:hint="default" w:ascii="仿宋_GB2312" w:hAnsi="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邮箱：</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chenyuewen</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hncjjt</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com</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cn</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二</w:t>
      </w:r>
      <w:r>
        <w:rPr>
          <w:rFonts w:hint="eastAsia" w:ascii="楷体" w:hAnsi="楷体" w:eastAsia="楷体" w:cs="楷体"/>
          <w:b/>
          <w:bCs/>
          <w:sz w:val="32"/>
          <w:szCs w:val="32"/>
          <w:highlight w:val="none"/>
          <w:lang w:val="zh-TW" w:eastAsia="zh-CN" w:bidi="ar-SA"/>
        </w:rPr>
        <w:t>）</w:t>
      </w:r>
      <w:r>
        <w:rPr>
          <w:rFonts w:hint="eastAsia" w:ascii="楷体" w:hAnsi="楷体" w:eastAsia="楷体" w:cs="楷体"/>
          <w:b/>
          <w:bCs/>
          <w:sz w:val="32"/>
          <w:szCs w:val="32"/>
          <w:highlight w:val="none"/>
          <w:lang w:val="en-US" w:eastAsia="zh-CN" w:bidi="ar-SA"/>
        </w:rPr>
        <w:t>响应文件要求</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供应商按照以下格式、内容编制响应文件；</w:t>
      </w:r>
    </w:p>
    <w:p>
      <w:pPr>
        <w:keepNext w:val="0"/>
        <w:keepLines w:val="0"/>
        <w:pageBreakBefore w:val="0"/>
        <w:wordWrap/>
        <w:overflowPunct/>
        <w:topLinePunct w:val="0"/>
        <w:bidi w:val="0"/>
        <w:snapToGrid w:val="0"/>
        <w:spacing w:line="578" w:lineRule="exact"/>
        <w:ind w:firstLine="640"/>
        <w:contextualSpacing/>
        <w:rPr>
          <w:rFonts w:hint="eastAsia"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1</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海南金财网络技术有限公司</w:t>
      </w:r>
      <w:r>
        <w:rPr>
          <w:rFonts w:hint="eastAsia" w:ascii="Times New Roman" w:hAnsi="Times New Roman" w:cs="仿宋_GB2312"/>
          <w:sz w:val="32"/>
          <w:szCs w:val="32"/>
          <w:highlight w:val="none"/>
          <w:lang w:val="en-US" w:eastAsia="zh-CN"/>
        </w:rPr>
        <w:t>2025</w:t>
      </w:r>
      <w:r>
        <w:rPr>
          <w:rFonts w:hint="eastAsia" w:ascii="仿宋_GB2312" w:hAnsi="仿宋_GB2312" w:cs="仿宋_GB2312"/>
          <w:sz w:val="32"/>
          <w:szCs w:val="32"/>
          <w:highlight w:val="none"/>
          <w:lang w:val="en-US" w:eastAsia="zh-CN"/>
        </w:rPr>
        <w:t>年度内部管理制度体系优化项目</w:t>
      </w:r>
      <w:r>
        <w:rPr>
          <w:rFonts w:hint="eastAsia" w:ascii="仿宋_GB2312" w:hAnsi="仿宋_GB2312" w:cs="仿宋_GB2312"/>
          <w:sz w:val="32"/>
          <w:szCs w:val="32"/>
          <w:highlight w:val="none"/>
          <w:lang w:eastAsia="zh-CN"/>
        </w:rPr>
        <w:t>竞争性磋商-</w:t>
      </w:r>
      <w:r>
        <w:rPr>
          <w:rFonts w:hint="eastAsia" w:ascii="Times New Roman" w:hAnsi="Times New Roman" w:cs="仿宋_GB2312"/>
          <w:sz w:val="32"/>
          <w:szCs w:val="32"/>
          <w:highlight w:val="none"/>
          <w:lang w:eastAsia="zh-CN"/>
        </w:rPr>
        <w:t>XXX</w:t>
      </w:r>
      <w:r>
        <w:rPr>
          <w:rFonts w:hint="eastAsia" w:ascii="仿宋_GB2312" w:hAnsi="仿宋_GB2312" w:cs="仿宋_GB2312"/>
          <w:sz w:val="32"/>
          <w:szCs w:val="32"/>
          <w:highlight w:val="none"/>
          <w:lang w:eastAsia="zh-CN"/>
        </w:rPr>
        <w:t>公司</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2</w:t>
      </w:r>
      <w:r>
        <w:rPr>
          <w:rFonts w:hint="eastAsia" w:ascii="仿宋_GB2312" w:hAnsi="仿宋_GB2312" w:cs="仿宋_GB2312"/>
          <w:sz w:val="32"/>
          <w:szCs w:val="32"/>
          <w:highlight w:val="none"/>
          <w:lang w:eastAsia="zh-CN"/>
        </w:rPr>
        <w:t>.目录。</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3</w:t>
      </w:r>
      <w:r>
        <w:rPr>
          <w:rFonts w:hint="eastAsia" w:ascii="仿宋_GB2312" w:hAnsi="仿宋_GB2312" w:cs="仿宋_GB2312"/>
          <w:sz w:val="32"/>
          <w:szCs w:val="32"/>
          <w:highlight w:val="none"/>
          <w:lang w:eastAsia="zh-CN"/>
        </w:rPr>
        <w:t>.企业资格要求证明材料，包括但不限于报价函、供应商基本资格证明、类似项目业绩证明、售后服务承诺等。</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4</w:t>
      </w:r>
      <w:r>
        <w:rPr>
          <w:rFonts w:hint="eastAsia" w:ascii="仿宋_GB2312" w:hAnsi="仿宋_GB2312" w:cs="仿宋_GB2312"/>
          <w:sz w:val="32"/>
          <w:szCs w:val="32"/>
          <w:highlight w:val="none"/>
          <w:lang w:eastAsia="zh-CN"/>
        </w:rPr>
        <w:t>.机构业绩：</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w:t>
      </w:r>
      <w:r>
        <w:rPr>
          <w:rFonts w:hint="eastAsia" w:ascii="Times New Roman" w:hAnsi="Times New Roman" w:cs="仿宋_GB2312"/>
          <w:sz w:val="32"/>
          <w:szCs w:val="32"/>
          <w:highlight w:val="none"/>
          <w:lang w:eastAsia="zh-CN"/>
        </w:rPr>
        <w:t>1</w:t>
      </w:r>
      <w:r>
        <w:rPr>
          <w:rFonts w:hint="eastAsia" w:ascii="仿宋_GB2312" w:hAnsi="仿宋_GB2312" w:cs="仿宋_GB2312"/>
          <w:sz w:val="32"/>
          <w:szCs w:val="32"/>
          <w:highlight w:val="none"/>
          <w:lang w:eastAsia="zh-CN"/>
        </w:rPr>
        <w:t>）业绩证明一览表（示例）</w:t>
      </w:r>
    </w:p>
    <w:tbl>
      <w:tblPr>
        <w:tblStyle w:val="10"/>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38"/>
        <w:gridCol w:w="2400"/>
        <w:gridCol w:w="1877"/>
        <w:gridCol w:w="1862"/>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56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序</w:t>
            </w:r>
            <w:r>
              <w:rPr>
                <w:rFonts w:hint="eastAsia" w:ascii="仿宋_GB2312" w:hAnsi="仿宋_GB2312" w:cs="仿宋_GB2312"/>
                <w:sz w:val="32"/>
                <w:szCs w:val="32"/>
                <w:highlight w:val="none"/>
                <w:lang w:val="en-US" w:eastAsia="zh-CN"/>
              </w:rPr>
              <w:t>序号</w:t>
            </w:r>
          </w:p>
        </w:tc>
        <w:tc>
          <w:tcPr>
            <w:tcW w:w="1538"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业绩类型</w:t>
            </w:r>
          </w:p>
        </w:tc>
        <w:tc>
          <w:tcPr>
            <w:tcW w:w="2400"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56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资格要求</w:t>
            </w:r>
          </w:p>
        </w:tc>
        <w:tc>
          <w:tcPr>
            <w:tcW w:w="1877"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证明材料名称</w:t>
            </w:r>
          </w:p>
        </w:tc>
        <w:tc>
          <w:tcPr>
            <w:tcW w:w="1862"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材料所在</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页码范围</w:t>
            </w:r>
          </w:p>
        </w:tc>
        <w:tc>
          <w:tcPr>
            <w:tcW w:w="789"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1</w:t>
            </w:r>
          </w:p>
        </w:tc>
        <w:tc>
          <w:tcPr>
            <w:tcW w:w="1538"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机构业绩</w:t>
            </w:r>
          </w:p>
        </w:tc>
        <w:tc>
          <w:tcPr>
            <w:tcW w:w="2400"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按是否符合第（</w:t>
            </w:r>
            <w:r>
              <w:rPr>
                <w:rFonts w:hint="eastAsia" w:ascii="Times New Roman" w:hAnsi="Times New Roman" w:cs="仿宋_GB2312"/>
                <w:sz w:val="32"/>
                <w:szCs w:val="32"/>
                <w:highlight w:val="none"/>
                <w:lang w:eastAsia="zh-CN"/>
              </w:rPr>
              <w:t>2</w:t>
            </w:r>
            <w:r>
              <w:rPr>
                <w:rFonts w:hint="eastAsia" w:ascii="仿宋_GB2312" w:hAnsi="仿宋_GB2312" w:cs="仿宋_GB2312"/>
                <w:sz w:val="32"/>
                <w:szCs w:val="32"/>
                <w:highlight w:val="none"/>
                <w:lang w:eastAsia="zh-CN"/>
              </w:rPr>
              <w:t>）点“业绩要求－机构业绩”填写相应序号，如：①；①②；①②③。</w:t>
            </w:r>
          </w:p>
        </w:tc>
        <w:tc>
          <w:tcPr>
            <w:tcW w:w="1877"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①证明材料</w:t>
            </w:r>
            <w:r>
              <w:rPr>
                <w:rFonts w:hint="eastAsia" w:ascii="Times New Roman" w:hAnsi="Times New Roman" w:cs="仿宋_GB2312"/>
                <w:sz w:val="32"/>
                <w:szCs w:val="32"/>
                <w:highlight w:val="none"/>
                <w:lang w:eastAsia="zh-CN"/>
              </w:rPr>
              <w:t>A</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②证明材料</w:t>
            </w:r>
            <w:r>
              <w:rPr>
                <w:rFonts w:hint="eastAsia" w:ascii="Times New Roman" w:hAnsi="Times New Roman" w:cs="仿宋_GB2312"/>
                <w:sz w:val="32"/>
                <w:szCs w:val="32"/>
                <w:highlight w:val="none"/>
                <w:lang w:eastAsia="zh-CN"/>
              </w:rPr>
              <w:t>B</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③证明材料</w:t>
            </w:r>
            <w:r>
              <w:rPr>
                <w:rFonts w:hint="eastAsia" w:ascii="Times New Roman" w:hAnsi="Times New Roman" w:cs="仿宋_GB2312"/>
                <w:sz w:val="32"/>
                <w:szCs w:val="32"/>
                <w:highlight w:val="none"/>
                <w:lang w:eastAsia="zh-CN"/>
              </w:rPr>
              <w:t>C</w:t>
            </w:r>
          </w:p>
        </w:tc>
        <w:tc>
          <w:tcPr>
            <w:tcW w:w="1862"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①证明材料</w:t>
            </w:r>
            <w:r>
              <w:rPr>
                <w:rFonts w:hint="eastAsia" w:ascii="Times New Roman" w:hAnsi="Times New Roman" w:cs="仿宋_GB2312"/>
                <w:sz w:val="32"/>
                <w:szCs w:val="32"/>
                <w:highlight w:val="none"/>
                <w:lang w:eastAsia="zh-CN"/>
              </w:rPr>
              <w:t>A</w:t>
            </w:r>
            <w:r>
              <w:rPr>
                <w:rFonts w:hint="eastAsia" w:ascii="仿宋_GB2312" w:hAnsi="仿宋_GB2312" w:cs="仿宋_GB2312"/>
                <w:sz w:val="32"/>
                <w:szCs w:val="32"/>
                <w:highlight w:val="none"/>
                <w:lang w:eastAsia="zh-CN"/>
              </w:rPr>
              <w:t>页码范围</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②证明材料</w:t>
            </w:r>
            <w:r>
              <w:rPr>
                <w:rFonts w:hint="eastAsia" w:ascii="Times New Roman" w:hAnsi="Times New Roman" w:cs="仿宋_GB2312"/>
                <w:sz w:val="32"/>
                <w:szCs w:val="32"/>
                <w:highlight w:val="none"/>
                <w:lang w:eastAsia="zh-CN"/>
              </w:rPr>
              <w:t>B</w:t>
            </w:r>
            <w:r>
              <w:rPr>
                <w:rFonts w:hint="eastAsia" w:ascii="仿宋_GB2312" w:hAnsi="仿宋_GB2312" w:cs="仿宋_GB2312"/>
                <w:sz w:val="32"/>
                <w:szCs w:val="32"/>
                <w:highlight w:val="none"/>
                <w:lang w:eastAsia="zh-CN"/>
              </w:rPr>
              <w:t>页码范围</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③证明材料</w:t>
            </w:r>
            <w:r>
              <w:rPr>
                <w:rFonts w:hint="eastAsia" w:ascii="Times New Roman" w:hAnsi="Times New Roman" w:cs="仿宋_GB2312"/>
                <w:sz w:val="32"/>
                <w:szCs w:val="32"/>
                <w:highlight w:val="none"/>
                <w:lang w:eastAsia="zh-CN"/>
              </w:rPr>
              <w:t>C</w:t>
            </w:r>
            <w:r>
              <w:rPr>
                <w:rFonts w:hint="eastAsia" w:ascii="仿宋_GB2312" w:hAnsi="仿宋_GB2312" w:cs="仿宋_GB2312"/>
                <w:sz w:val="32"/>
                <w:szCs w:val="32"/>
                <w:highlight w:val="none"/>
                <w:lang w:eastAsia="zh-CN"/>
              </w:rPr>
              <w:t>页码范围</w:t>
            </w:r>
          </w:p>
        </w:tc>
        <w:tc>
          <w:tcPr>
            <w:tcW w:w="789" w:type="dxa"/>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560"/>
              <w:jc w:val="both"/>
              <w:textAlignment w:val="auto"/>
              <w:rPr>
                <w:rFonts w:ascii="仿宋_GB2312" w:hAnsi="仿宋_GB2312" w:cs="仿宋_GB2312"/>
                <w:sz w:val="32"/>
                <w:szCs w:val="32"/>
                <w:highlight w:val="none"/>
                <w:lang w:eastAsia="zh-CN"/>
              </w:rPr>
            </w:pPr>
          </w:p>
        </w:tc>
      </w:tr>
    </w:tbl>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w:t>
      </w:r>
      <w:r>
        <w:rPr>
          <w:rFonts w:hint="eastAsia" w:ascii="Times New Roman" w:hAnsi="Times New Roman" w:cs="仿宋_GB2312"/>
          <w:sz w:val="32"/>
          <w:szCs w:val="32"/>
          <w:highlight w:val="none"/>
          <w:lang w:eastAsia="zh-CN"/>
        </w:rPr>
        <w:t>2</w:t>
      </w:r>
      <w:r>
        <w:rPr>
          <w:rFonts w:hint="eastAsia" w:ascii="仿宋_GB2312" w:hAnsi="仿宋_GB2312" w:cs="仿宋_GB2312"/>
          <w:sz w:val="32"/>
          <w:szCs w:val="32"/>
          <w:highlight w:val="none"/>
          <w:lang w:eastAsia="zh-CN"/>
        </w:rPr>
        <w:t>）业绩要求</w:t>
      </w:r>
    </w:p>
    <w:p>
      <w:pPr>
        <w:keepNext w:val="0"/>
        <w:keepLines w:val="0"/>
        <w:pageBreakBefore w:val="0"/>
        <w:widowControl w:val="0"/>
        <w:wordWrap/>
        <w:overflowPunct/>
        <w:topLinePunct w:val="0"/>
        <w:bidi w:val="0"/>
        <w:adjustRightInd w:val="0"/>
        <w:snapToGrid w:val="0"/>
        <w:spacing w:after="0" w:line="578" w:lineRule="exact"/>
        <w:ind w:firstLine="640"/>
        <w:jc w:val="both"/>
        <w:rPr>
          <w:rFonts w:hint="default"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必须具有至少</w:t>
      </w:r>
      <w:r>
        <w:rPr>
          <w:rFonts w:hint="eastAsia" w:ascii="Times New Roman" w:hAnsi="Times New Roman" w:cs="仿宋_GB2312"/>
          <w:sz w:val="32"/>
          <w:szCs w:val="32"/>
          <w:highlight w:val="none"/>
          <w:lang w:val="en-US" w:eastAsia="zh-CN"/>
        </w:rPr>
        <w:t>3</w:t>
      </w:r>
      <w:r>
        <w:rPr>
          <w:rFonts w:hint="eastAsia" w:ascii="仿宋_GB2312" w:hAnsi="仿宋_GB2312" w:cs="仿宋_GB2312"/>
          <w:sz w:val="32"/>
          <w:szCs w:val="32"/>
          <w:highlight w:val="none"/>
          <w:lang w:val="en-US" w:eastAsia="zh-CN"/>
        </w:rPr>
        <w:t>个及以上含制度体系建设内容的项目（</w:t>
      </w:r>
      <w:r>
        <w:rPr>
          <w:rFonts w:hint="eastAsia" w:ascii="仿宋_GB2312" w:hAnsi="仿宋_GB2312" w:cs="仿宋_GB2312"/>
          <w:sz w:val="32"/>
          <w:szCs w:val="32"/>
          <w:highlight w:val="none"/>
          <w:lang w:eastAsia="zh-CN"/>
        </w:rPr>
        <w:t>近三年内）</w:t>
      </w:r>
      <w:r>
        <w:rPr>
          <w:rFonts w:hint="default" w:ascii="仿宋_GB2312" w:hAnsi="仿宋_GB2312" w:cs="仿宋_GB2312"/>
          <w:sz w:val="32"/>
          <w:szCs w:val="32"/>
          <w:highlight w:val="none"/>
          <w:lang w:eastAsia="zh-CN"/>
        </w:rPr>
        <w:t>，</w:t>
      </w:r>
      <w:r>
        <w:rPr>
          <w:rFonts w:hint="eastAsia" w:ascii="仿宋_GB2312" w:hAnsi="仿宋_GB2312" w:cs="仿宋_GB2312"/>
          <w:sz w:val="32"/>
          <w:szCs w:val="32"/>
          <w:highlight w:val="none"/>
          <w:lang w:eastAsia="zh-CN"/>
        </w:rPr>
        <w:t>提供合同关键页</w:t>
      </w:r>
      <w:r>
        <w:rPr>
          <w:rFonts w:hint="default" w:ascii="仿宋_GB2312" w:hAnsi="仿宋_GB2312" w:cs="仿宋_GB2312"/>
          <w:sz w:val="32"/>
          <w:szCs w:val="32"/>
          <w:highlight w:val="none"/>
          <w:lang w:eastAsia="zh-CN"/>
        </w:rPr>
        <w:t>（包含项目名称、服务内容、合同金额、签订时间、双方盖章页）</w:t>
      </w:r>
      <w:r>
        <w:rPr>
          <w:rFonts w:hint="eastAsia" w:ascii="仿宋_GB2312" w:hAnsi="仿宋_GB2312" w:cs="仿宋_GB2312"/>
          <w:sz w:val="32"/>
          <w:szCs w:val="32"/>
          <w:highlight w:val="none"/>
          <w:lang w:eastAsia="zh-CN"/>
        </w:rPr>
        <w:t>扫描件及验收证明。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8" w:lineRule="exact"/>
        <w:ind w:left="0" w:right="0" w:firstLine="640"/>
        <w:jc w:val="both"/>
        <w:textAlignment w:val="auto"/>
        <w:rPr>
          <w:rFonts w:hint="eastAsia" w:ascii="仿宋_GB2312" w:hAnsi="仿宋_GB2312" w:cs="仿宋_GB2312"/>
          <w:sz w:val="32"/>
          <w:szCs w:val="32"/>
          <w:highlight w:val="none"/>
          <w:lang w:eastAsia="zh-CN"/>
        </w:rPr>
      </w:pPr>
      <w:r>
        <w:rPr>
          <w:rFonts w:hint="default" w:ascii="Times New Roman" w:hAnsi="Times New Roman" w:eastAsia="仿宋_GB2312" w:cs="仿宋_GB2312"/>
          <w:sz w:val="32"/>
          <w:szCs w:val="32"/>
          <w:highlight w:val="none"/>
          <w:lang w:val="en-US" w:eastAsia="zh-CN" w:bidi="ar-SA"/>
        </w:rPr>
        <w:t>5</w:t>
      </w:r>
      <w:r>
        <w:rPr>
          <w:rFonts w:hint="default" w:ascii="仿宋_GB2312" w:hAnsi="仿宋_GB2312" w:eastAsia="仿宋_GB2312" w:cs="仿宋_GB2312"/>
          <w:sz w:val="32"/>
          <w:szCs w:val="32"/>
          <w:highlight w:val="none"/>
          <w:lang w:val="en-US" w:eastAsia="zh-CN" w:bidi="ar-SA"/>
        </w:rPr>
        <w:t>.服务方案</w:t>
      </w:r>
      <w:r>
        <w:rPr>
          <w:rFonts w:hint="default" w:ascii="仿宋_GB2312" w:hAnsi="仿宋_GB2312" w:cs="仿宋_GB2312"/>
          <w:sz w:val="32"/>
          <w:szCs w:val="32"/>
          <w:highlight w:val="none"/>
          <w:lang w:eastAsia="zh-CN" w:bidi="ar-SA"/>
        </w:rPr>
        <w:t>。</w:t>
      </w:r>
      <w:r>
        <w:rPr>
          <w:rFonts w:hint="default" w:ascii="仿宋_GB2312" w:hAnsi="仿宋_GB2312" w:eastAsia="仿宋_GB2312" w:cs="仿宋_GB2312"/>
          <w:sz w:val="32"/>
          <w:szCs w:val="32"/>
          <w:highlight w:val="none"/>
          <w:lang w:val="en-US" w:eastAsia="zh-CN" w:bidi="ar-SA"/>
        </w:rPr>
        <w:t>提供的</w:t>
      </w:r>
      <w:r>
        <w:rPr>
          <w:rFonts w:hint="eastAsia" w:ascii="仿宋_GB2312" w:hAnsi="仿宋_GB2312" w:eastAsia="仿宋_GB2312" w:cs="仿宋_GB2312"/>
          <w:sz w:val="32"/>
          <w:szCs w:val="32"/>
          <w:highlight w:val="none"/>
          <w:lang w:eastAsia="zh-CN" w:bidi="ar-SA"/>
        </w:rPr>
        <w:t>服务</w:t>
      </w:r>
      <w:r>
        <w:rPr>
          <w:rFonts w:hint="default" w:ascii="仿宋_GB2312" w:hAnsi="仿宋_GB2312" w:eastAsia="仿宋_GB2312" w:cs="仿宋_GB2312"/>
          <w:sz w:val="32"/>
          <w:szCs w:val="32"/>
          <w:highlight w:val="none"/>
          <w:lang w:val="en-US" w:eastAsia="zh-CN" w:bidi="ar-SA"/>
        </w:rPr>
        <w:t>方案，包含但不限于：①</w:t>
      </w:r>
      <w:r>
        <w:rPr>
          <w:rFonts w:hint="eastAsia" w:ascii="仿宋_GB2312" w:hAnsi="仿宋_GB2312" w:eastAsia="仿宋_GB2312" w:cs="仿宋_GB2312"/>
          <w:kern w:val="0"/>
          <w:sz w:val="32"/>
          <w:szCs w:val="32"/>
          <w:highlight w:val="none"/>
          <w:lang w:val="en-US" w:eastAsia="zh-CN" w:bidi="ar"/>
        </w:rPr>
        <w:t>项目重点难点分析</w:t>
      </w:r>
      <w:r>
        <w:rPr>
          <w:rFonts w:hint="default" w:ascii="仿宋_GB2312" w:hAnsi="仿宋_GB2312" w:eastAsia="仿宋_GB2312" w:cs="仿宋_GB2312"/>
          <w:sz w:val="32"/>
          <w:szCs w:val="32"/>
          <w:highlight w:val="none"/>
          <w:lang w:val="en-US" w:eastAsia="zh-CN" w:bidi="ar-SA"/>
        </w:rPr>
        <w:t>：②</w:t>
      </w:r>
      <w:r>
        <w:rPr>
          <w:rFonts w:hint="eastAsia" w:ascii="仿宋_GB2312" w:hAnsi="仿宋_GB2312" w:eastAsia="仿宋_GB2312" w:cs="仿宋_GB2312"/>
          <w:kern w:val="0"/>
          <w:sz w:val="32"/>
          <w:szCs w:val="32"/>
          <w:highlight w:val="none"/>
          <w:lang w:val="en-US" w:eastAsia="zh-CN" w:bidi="ar"/>
        </w:rPr>
        <w:t>总体实施方案（包括但不限于工作思路、目标、范围、内容等）</w:t>
      </w:r>
      <w:r>
        <w:rPr>
          <w:rFonts w:hint="default" w:ascii="仿宋_GB2312" w:hAnsi="仿宋_GB2312" w:eastAsia="仿宋_GB2312" w:cs="仿宋_GB2312"/>
          <w:sz w:val="32"/>
          <w:szCs w:val="32"/>
          <w:highlight w:val="none"/>
          <w:lang w:val="en-US" w:eastAsia="zh-CN" w:bidi="ar-SA"/>
        </w:rPr>
        <w:t>；③</w:t>
      </w:r>
      <w:r>
        <w:rPr>
          <w:rFonts w:hint="eastAsia" w:ascii="仿宋_GB2312" w:hAnsi="仿宋_GB2312" w:eastAsia="仿宋_GB2312" w:cs="仿宋_GB2312"/>
          <w:kern w:val="0"/>
          <w:sz w:val="32"/>
          <w:szCs w:val="32"/>
          <w:highlight w:val="none"/>
          <w:lang w:val="en-US" w:eastAsia="zh-CN" w:bidi="ar"/>
        </w:rPr>
        <w:t>质量保障措施</w:t>
      </w:r>
      <w:r>
        <w:rPr>
          <w:rFonts w:hint="default" w:ascii="仿宋_GB2312" w:hAnsi="仿宋_GB2312" w:eastAsia="仿宋_GB2312" w:cs="仿宋_GB2312"/>
          <w:sz w:val="32"/>
          <w:szCs w:val="32"/>
          <w:highlight w:val="none"/>
          <w:lang w:val="en-US" w:eastAsia="zh-CN" w:bidi="ar-SA"/>
        </w:rPr>
        <w:t>。</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6</w:t>
      </w:r>
      <w:r>
        <w:rPr>
          <w:rFonts w:hint="eastAsia" w:ascii="仿宋_GB2312" w:hAnsi="仿宋_GB2312" w:cs="仿宋_GB2312"/>
          <w:sz w:val="32"/>
          <w:szCs w:val="32"/>
          <w:highlight w:val="none"/>
          <w:lang w:eastAsia="zh-CN"/>
        </w:rPr>
        <w:t>.报价。对项目的报价情况。</w:t>
      </w:r>
    </w:p>
    <w:p>
      <w:pPr>
        <w:pStyle w:val="5"/>
        <w:keepNext w:val="0"/>
        <w:keepLines w:val="0"/>
        <w:pageBreakBefore w:val="0"/>
        <w:widowControl/>
        <w:kinsoku w:val="0"/>
        <w:wordWrap/>
        <w:overflowPunct/>
        <w:topLinePunct w:val="0"/>
        <w:autoSpaceDE w:val="0"/>
        <w:autoSpaceDN w:val="0"/>
        <w:bidi w:val="0"/>
        <w:adjustRightInd w:val="0"/>
        <w:snapToGrid w:val="0"/>
        <w:spacing w:line="578" w:lineRule="exact"/>
        <w:ind w:left="25" w:right="16" w:firstLine="421"/>
        <w:jc w:val="both"/>
        <w:textAlignment w:val="baseline"/>
        <w:rPr>
          <w:rFonts w:hint="eastAsia" w:ascii="仿宋_GB2312" w:hAnsi="仿宋_GB2312" w:eastAsia="仿宋_GB2312" w:cs="仿宋_GB2312"/>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bidi="ar-SA"/>
        </w:rPr>
        <w:t>7</w:t>
      </w:r>
      <w:r>
        <w:rPr>
          <w:rFonts w:hint="eastAsia" w:ascii="仿宋_GB2312" w:hAnsi="仿宋_GB2312" w:eastAsia="仿宋_GB2312" w:cs="仿宋_GB2312"/>
          <w:sz w:val="32"/>
          <w:szCs w:val="32"/>
          <w:highlight w:val="none"/>
          <w:lang w:val="en-US" w:eastAsia="zh-CN" w:bidi="ar-SA"/>
        </w:rPr>
        <w:t>.供应商认为需要的其他证明材料。</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相应文件内容应与评估项目匹配。</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纸质响应文件正本</w:t>
      </w:r>
      <w:r>
        <w:rPr>
          <w:rFonts w:hint="eastAsia" w:ascii="Times New Roman" w:hAnsi="Times New Roman" w:cs="仿宋_GB2312"/>
          <w:sz w:val="32"/>
          <w:szCs w:val="32"/>
          <w:highlight w:val="none"/>
          <w:lang w:eastAsia="zh-CN"/>
        </w:rPr>
        <w:t>1</w:t>
      </w:r>
      <w:r>
        <w:rPr>
          <w:rFonts w:hint="eastAsia" w:ascii="仿宋_GB2312" w:hAnsi="仿宋_GB2312" w:cs="仿宋_GB2312"/>
          <w:sz w:val="32"/>
          <w:szCs w:val="32"/>
          <w:highlight w:val="none"/>
          <w:lang w:eastAsia="zh-CN"/>
        </w:rPr>
        <w:t>份、副本</w:t>
      </w:r>
      <w:r>
        <w:rPr>
          <w:rFonts w:hint="default" w:ascii="Times New Roman" w:hAnsi="Times New Roman" w:cs="仿宋_GB2312"/>
          <w:sz w:val="32"/>
          <w:szCs w:val="32"/>
          <w:highlight w:val="none"/>
          <w:lang w:eastAsia="zh-CN"/>
        </w:rPr>
        <w:t>２</w:t>
      </w:r>
      <w:r>
        <w:rPr>
          <w:rFonts w:hint="eastAsia" w:ascii="仿宋_GB2312" w:hAnsi="仿宋_GB2312" w:cs="仿宋_GB2312"/>
          <w:sz w:val="32"/>
          <w:szCs w:val="32"/>
          <w:highlight w:val="none"/>
          <w:lang w:eastAsia="zh-CN"/>
        </w:rPr>
        <w:t>份，并在其封面上清楚地标明响应文件、采购项目名称、包件号及名称（若有）、供应商名称以及“正本”或“副本”字样。若正本和副本有不一致的内容，以正本书面响应文件为准。响应文件正本和副本均需在规定签章处签字和盖章。响应文件副本可采用正本的复印件。</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响应文件的打印和书写应清楚工整，任何行间不得插字、涂改或增删，响应文件统一用</w:t>
      </w:r>
      <w:r>
        <w:rPr>
          <w:rFonts w:hint="eastAsia" w:ascii="Times New Roman" w:hAnsi="Times New Roman" w:cs="仿宋_GB2312"/>
          <w:sz w:val="32"/>
          <w:szCs w:val="32"/>
          <w:highlight w:val="none"/>
          <w:lang w:eastAsia="zh-CN"/>
        </w:rPr>
        <w:t>A4</w:t>
      </w:r>
      <w:r>
        <w:rPr>
          <w:rFonts w:hint="eastAsia" w:ascii="仿宋_GB2312" w:hAnsi="仿宋_GB2312" w:cs="仿宋_GB2312"/>
          <w:sz w:val="32"/>
          <w:szCs w:val="32"/>
          <w:highlight w:val="none"/>
          <w:lang w:eastAsia="zh-CN"/>
        </w:rPr>
        <w:t>纸印制，除另有规定外。供应商应将响应文件装订成册、密封并在信封上标明项目名称、单位名称、地址、联系方式。同时提供相应文件电子版本。</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lang w:eastAsia="zh-CN"/>
        </w:rPr>
        <w:t>、采购程序</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（一）提交材料</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供应商按磋商公告要求，在截止日前提供相应资质及响应文件。</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（二）资格性审查</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磋商小组根据供应商提供的资格证明材料，按照</w:t>
      </w:r>
      <w:r>
        <w:rPr>
          <w:rFonts w:hint="default" w:ascii="仿宋_GB2312" w:hAnsi="仿宋_GB2312" w:cs="仿宋_GB2312"/>
          <w:sz w:val="32"/>
          <w:szCs w:val="32"/>
          <w:highlight w:val="none"/>
          <w:lang w:eastAsia="zh-CN"/>
        </w:rPr>
        <w:t>磋商文件</w:t>
      </w:r>
      <w:r>
        <w:rPr>
          <w:rFonts w:hint="eastAsia" w:ascii="仿宋_GB2312" w:hAnsi="仿宋_GB2312" w:cs="仿宋_GB2312"/>
          <w:sz w:val="32"/>
          <w:szCs w:val="32"/>
          <w:highlight w:val="none"/>
          <w:lang w:eastAsia="zh-CN"/>
        </w:rPr>
        <w:t>“</w:t>
      </w:r>
      <w:r>
        <w:rPr>
          <w:rFonts w:hint="default" w:ascii="仿宋_GB2312" w:hAnsi="仿宋_GB2312" w:cs="仿宋_GB2312"/>
          <w:sz w:val="32"/>
          <w:szCs w:val="32"/>
          <w:highlight w:val="none"/>
          <w:lang w:eastAsia="zh-CN"/>
        </w:rPr>
        <w:t>三、</w:t>
      </w:r>
      <w:r>
        <w:rPr>
          <w:rFonts w:hint="eastAsia" w:ascii="仿宋_GB2312" w:hAnsi="仿宋_GB2312" w:cs="仿宋_GB2312"/>
          <w:sz w:val="32"/>
          <w:szCs w:val="32"/>
          <w:highlight w:val="none"/>
          <w:lang w:eastAsia="zh-CN"/>
        </w:rPr>
        <w:t>供应商资格要求”规定的项目对供应商进行资格性审查。资格性审查不通过的，不得参与符合性审查和后续评审。</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（三）符合性审查</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对通过资格性审查的供应商进行符合性审查，符合性审查通过的，可进入后续评审环节。符合性审查内容包括：</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1</w:t>
      </w:r>
      <w:r>
        <w:rPr>
          <w:rFonts w:hint="eastAsia" w:ascii="仿宋_GB2312" w:hAnsi="仿宋_GB2312" w:cs="仿宋_GB2312"/>
          <w:sz w:val="32"/>
          <w:szCs w:val="32"/>
          <w:highlight w:val="none"/>
          <w:lang w:eastAsia="zh-CN"/>
        </w:rPr>
        <w:t>.响应文件签署盖章要求；</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2</w:t>
      </w:r>
      <w:r>
        <w:rPr>
          <w:rFonts w:hint="eastAsia" w:ascii="仿宋_GB2312" w:hAnsi="仿宋_GB2312" w:cs="仿宋_GB2312"/>
          <w:sz w:val="32"/>
          <w:szCs w:val="32"/>
          <w:highlight w:val="none"/>
          <w:lang w:eastAsia="zh-CN"/>
        </w:rPr>
        <w:t>.响应文件密封要求；</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3</w:t>
      </w:r>
      <w:r>
        <w:rPr>
          <w:rFonts w:hint="eastAsia" w:ascii="仿宋_GB2312" w:hAnsi="仿宋_GB2312" w:cs="仿宋_GB2312"/>
          <w:sz w:val="32"/>
          <w:szCs w:val="32"/>
          <w:highlight w:val="none"/>
          <w:lang w:eastAsia="zh-CN"/>
        </w:rPr>
        <w:t>.报价；</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4</w:t>
      </w:r>
      <w:r>
        <w:rPr>
          <w:rFonts w:hint="eastAsia" w:ascii="仿宋_GB2312" w:hAnsi="仿宋_GB2312" w:cs="仿宋_GB2312"/>
          <w:sz w:val="32"/>
          <w:szCs w:val="32"/>
          <w:highlight w:val="none"/>
          <w:lang w:eastAsia="zh-CN"/>
        </w:rPr>
        <w:t>.响应文件是否按照磋商文件要求进行编制；</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Times New Roman" w:hAnsi="Times New Roman" w:cs="仿宋_GB2312"/>
          <w:sz w:val="32"/>
          <w:szCs w:val="32"/>
          <w:highlight w:val="none"/>
          <w:lang w:eastAsia="zh-CN"/>
        </w:rPr>
        <w:t>5</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供应商</w:t>
      </w:r>
      <w:r>
        <w:rPr>
          <w:rFonts w:hint="eastAsia" w:ascii="仿宋_GB2312" w:hAnsi="仿宋_GB2312" w:cs="仿宋_GB2312"/>
          <w:sz w:val="32"/>
          <w:szCs w:val="32"/>
          <w:highlight w:val="none"/>
          <w:lang w:eastAsia="zh-CN"/>
        </w:rPr>
        <w:t>是否对竞争性磋商文件的其他实质性要求作出响应。</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（四）磋商</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符合性审查通过后，磋商小组与供应商逐一进行磋商。</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（五）最终报价</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磋商结束后，所有参加单位在规定时间内进行最终报价。</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（六）确定成交供应商</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磋商小组进行综合评估后确定成交供应商。</w:t>
      </w:r>
    </w:p>
    <w:p>
      <w:pPr>
        <w:pStyle w:val="5"/>
        <w:keepNext w:val="0"/>
        <w:keepLines w:val="0"/>
        <w:pageBreakBefore w:val="0"/>
        <w:widowControl/>
        <w:kinsoku w:val="0"/>
        <w:wordWrap/>
        <w:overflowPunct/>
        <w:topLinePunct w:val="0"/>
        <w:autoSpaceDE w:val="0"/>
        <w:autoSpaceDN w:val="0"/>
        <w:bidi w:val="0"/>
        <w:adjustRightInd w:val="0"/>
        <w:snapToGrid w:val="0"/>
        <w:spacing w:after="0" w:line="578" w:lineRule="exact"/>
        <w:ind w:left="0" w:right="0" w:firstLine="421"/>
        <w:jc w:val="both"/>
        <w:textAlignment w:val="baseline"/>
        <w:rPr>
          <w:rFonts w:hint="eastAsia" w:ascii="楷体" w:hAnsi="楷体" w:eastAsia="楷体" w:cs="楷体"/>
          <w:b/>
          <w:bCs/>
          <w:sz w:val="32"/>
          <w:szCs w:val="32"/>
          <w:highlight w:val="none"/>
          <w:lang w:val="en-US" w:eastAsia="zh-CN" w:bidi="ar-SA"/>
        </w:rPr>
      </w:pPr>
      <w:r>
        <w:rPr>
          <w:rFonts w:hint="eastAsia" w:ascii="楷体" w:hAnsi="楷体" w:eastAsia="楷体" w:cs="楷体"/>
          <w:b/>
          <w:bCs/>
          <w:sz w:val="32"/>
          <w:szCs w:val="32"/>
          <w:highlight w:val="none"/>
          <w:lang w:val="en-US" w:eastAsia="zh-CN" w:bidi="ar-SA"/>
        </w:rPr>
        <w:t>（七）公示与签订相关协议</w:t>
      </w:r>
    </w:p>
    <w:p>
      <w:pPr>
        <w:keepNext w:val="0"/>
        <w:keepLines w:val="0"/>
        <w:pageBreakBefore w:val="0"/>
        <w:widowControl w:val="0"/>
        <w:wordWrap/>
        <w:overflowPunct/>
        <w:topLinePunct w:val="0"/>
        <w:bidi w:val="0"/>
        <w:adjustRightInd w:val="0"/>
        <w:snapToGrid w:val="0"/>
        <w:spacing w:line="578" w:lineRule="exact"/>
        <w:ind w:firstLine="640"/>
        <w:jc w:val="both"/>
        <w:rPr>
          <w:rFonts w:hint="default"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成交供应商确定后，在公司官网上发布磋商结果公示，并与确定的供应商签订相关协议</w:t>
      </w:r>
      <w:r>
        <w:rPr>
          <w:rFonts w:hint="default" w:ascii="仿宋_GB2312" w:hAnsi="仿宋_GB2312" w:cs="仿宋_GB2312"/>
          <w:sz w:val="32"/>
          <w:szCs w:val="32"/>
          <w:highlight w:val="none"/>
          <w:lang w:eastAsia="zh-CN"/>
        </w:rPr>
        <w:t>。</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lang w:eastAsia="zh-CN"/>
        </w:rPr>
        <w:t>、评价方法</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（一）</w:t>
      </w:r>
      <w:r>
        <w:rPr>
          <w:rFonts w:hint="eastAsia" w:ascii="仿宋_GB2312" w:hAnsi="仿宋_GB2312" w:cs="仿宋_GB2312"/>
          <w:bCs/>
          <w:sz w:val="32"/>
          <w:szCs w:val="32"/>
          <w:highlight w:val="none"/>
          <w:lang w:eastAsia="zh-CN"/>
        </w:rPr>
        <w:t>本项目采用综合评价法，采购人将组织磋商小组对应答人进行评价。</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（二）磋</w:t>
      </w:r>
      <w:r>
        <w:rPr>
          <w:rFonts w:hint="eastAsia" w:ascii="仿宋_GB2312" w:hAnsi="仿宋_GB2312" w:cs="仿宋_GB2312"/>
          <w:bCs/>
          <w:sz w:val="32"/>
          <w:szCs w:val="32"/>
          <w:highlight w:val="none"/>
          <w:lang w:eastAsia="zh-CN"/>
        </w:rPr>
        <w:t>商内容包括：能否针对客户需求制定比较完整、合理、细致的服务方案；报价等方面。</w:t>
      </w:r>
    </w:p>
    <w:p>
      <w:pPr>
        <w:keepNext w:val="0"/>
        <w:keepLines w:val="0"/>
        <w:pageBreakBefore w:val="0"/>
        <w:widowControl w:val="0"/>
        <w:wordWrap/>
        <w:overflowPunct/>
        <w:topLinePunct w:val="0"/>
        <w:bidi w:val="0"/>
        <w:adjustRightInd w:val="0"/>
        <w:snapToGrid w:val="0"/>
        <w:spacing w:after="0" w:line="578" w:lineRule="exact"/>
        <w:ind w:firstLine="640"/>
        <w:jc w:val="both"/>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（三）</w:t>
      </w:r>
      <w:r>
        <w:rPr>
          <w:rFonts w:hint="eastAsia" w:ascii="仿宋_GB2312" w:hAnsi="仿宋_GB2312" w:cs="仿宋_GB2312"/>
          <w:bCs/>
          <w:sz w:val="32"/>
          <w:szCs w:val="32"/>
          <w:highlight w:val="none"/>
          <w:lang w:eastAsia="zh-CN"/>
        </w:rPr>
        <w:t>磋商小组按</w:t>
      </w:r>
      <w:r>
        <w:rPr>
          <w:rFonts w:hint="default" w:ascii="仿宋_GB2312" w:hAnsi="仿宋_GB2312" w:cs="仿宋_GB2312"/>
          <w:bCs/>
          <w:sz w:val="32"/>
          <w:szCs w:val="32"/>
          <w:highlight w:val="none"/>
          <w:lang w:eastAsia="zh-CN"/>
        </w:rPr>
        <w:t>“十、评价标准”</w:t>
      </w:r>
      <w:r>
        <w:rPr>
          <w:rFonts w:hint="eastAsia" w:ascii="仿宋_GB2312" w:hAnsi="仿宋_GB2312" w:cs="仿宋_GB2312"/>
          <w:sz w:val="32"/>
          <w:szCs w:val="32"/>
          <w:highlight w:val="none"/>
          <w:lang w:eastAsia="zh-CN"/>
        </w:rPr>
        <w:t>规定的评估项目和分值进行打分，计算出综合评估得分，并选择供应商。</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（四）</w:t>
      </w:r>
      <w:r>
        <w:rPr>
          <w:rFonts w:hint="eastAsia" w:ascii="仿宋_GB2312" w:hAnsi="仿宋_GB2312" w:cs="仿宋_GB2312"/>
          <w:bCs/>
          <w:sz w:val="32"/>
          <w:szCs w:val="32"/>
          <w:highlight w:val="none"/>
          <w:lang w:eastAsia="zh-CN"/>
        </w:rPr>
        <w:t>确定成交供应商原则：</w:t>
      </w:r>
      <w:r>
        <w:rPr>
          <w:rFonts w:hint="eastAsia" w:ascii="仿宋_GB2312" w:hAnsi="仿宋_GB2312" w:cs="仿宋_GB2312"/>
          <w:sz w:val="32"/>
          <w:szCs w:val="32"/>
          <w:highlight w:val="none"/>
          <w:lang w:eastAsia="zh-CN"/>
        </w:rPr>
        <w:t>磋商小组依据</w:t>
      </w:r>
      <w:r>
        <w:rPr>
          <w:rFonts w:hint="default" w:ascii="仿宋_GB2312" w:hAnsi="仿宋_GB2312" w:cs="仿宋_GB2312"/>
          <w:sz w:val="32"/>
          <w:szCs w:val="32"/>
          <w:highlight w:val="none"/>
          <w:lang w:eastAsia="zh-CN"/>
        </w:rPr>
        <w:t>评价</w:t>
      </w:r>
      <w:r>
        <w:rPr>
          <w:rFonts w:hint="eastAsia" w:ascii="仿宋_GB2312" w:hAnsi="仿宋_GB2312" w:cs="仿宋_GB2312"/>
          <w:sz w:val="32"/>
          <w:szCs w:val="32"/>
          <w:highlight w:val="none"/>
          <w:lang w:eastAsia="zh-CN"/>
        </w:rPr>
        <w:t>标准对各供应商响应文件根据各供应商综合实力、实施方案和报价</w:t>
      </w:r>
      <w:r>
        <w:rPr>
          <w:rFonts w:hint="default" w:ascii="仿宋_GB2312" w:hAnsi="仿宋_GB2312" w:cs="仿宋_GB2312"/>
          <w:sz w:val="32"/>
          <w:szCs w:val="32"/>
          <w:highlight w:val="none"/>
          <w:lang w:eastAsia="zh-CN"/>
        </w:rPr>
        <w:t>等项目</w:t>
      </w:r>
      <w:r>
        <w:rPr>
          <w:rFonts w:hint="eastAsia" w:ascii="仿宋_GB2312" w:hAnsi="仿宋_GB2312" w:cs="仿宋_GB2312"/>
          <w:sz w:val="32"/>
          <w:szCs w:val="32"/>
          <w:highlight w:val="none"/>
          <w:lang w:eastAsia="zh-CN"/>
        </w:rPr>
        <w:t>计算得分总和，按总分由高到低排序；总分相同的，依次比较报价评审中提供技术人员的</w:t>
      </w:r>
      <w:r>
        <w:rPr>
          <w:rFonts w:hint="eastAsia"/>
          <w:sz w:val="32"/>
          <w:szCs w:val="32"/>
          <w:highlight w:val="none"/>
          <w:lang w:val="en-US" w:eastAsia="zh-CN"/>
        </w:rPr>
        <w:t>岗位报价</w:t>
      </w:r>
      <w:r>
        <w:rPr>
          <w:rFonts w:hint="eastAsia" w:ascii="仿宋_GB2312" w:hAnsi="仿宋_GB2312" w:cs="仿宋_GB2312"/>
          <w:sz w:val="32"/>
          <w:szCs w:val="32"/>
          <w:highlight w:val="none"/>
          <w:lang w:eastAsia="zh-CN"/>
        </w:rPr>
        <w:t>评分，得分高者优先；若仍相同，由评审小组投票确定排序。</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lang w:eastAsia="zh-CN"/>
        </w:rPr>
        <w:t>、保密事项</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（一）</w:t>
      </w:r>
      <w:r>
        <w:rPr>
          <w:rFonts w:hint="eastAsia" w:ascii="仿宋_GB2312" w:hAnsi="仿宋_GB2312" w:cs="仿宋_GB2312"/>
          <w:bCs/>
          <w:sz w:val="32"/>
          <w:szCs w:val="32"/>
          <w:highlight w:val="none"/>
          <w:lang w:eastAsia="zh-CN"/>
        </w:rPr>
        <w:t>在磋商过程中，参选单位不得向磋商小组询问评分情况，不得进行旨在影响评估结果的活动，如试图向磋商小组施加任何影响，都将会导致其参选可能会被拒绝。</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（二）</w:t>
      </w:r>
      <w:r>
        <w:rPr>
          <w:rFonts w:hint="eastAsia" w:ascii="仿宋_GB2312" w:hAnsi="仿宋_GB2312" w:cs="仿宋_GB2312"/>
          <w:bCs/>
          <w:sz w:val="32"/>
          <w:szCs w:val="32"/>
          <w:highlight w:val="none"/>
          <w:lang w:eastAsia="zh-CN"/>
        </w:rPr>
        <w:t>参选单位应当对服务对象的商业信息严格保密，不得向任何第三人透露。</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bCs/>
          <w:sz w:val="32"/>
          <w:szCs w:val="32"/>
          <w:highlight w:val="none"/>
          <w:lang w:eastAsia="zh-CN"/>
        </w:rPr>
      </w:pPr>
      <w:r>
        <w:rPr>
          <w:rFonts w:hint="eastAsia" w:ascii="仿宋_GB2312" w:hAnsi="仿宋_GB2312" w:cs="仿宋_GB2312"/>
          <w:sz w:val="32"/>
          <w:szCs w:val="32"/>
          <w:highlight w:val="none"/>
          <w:lang w:eastAsia="zh-CN"/>
        </w:rPr>
        <w:t>（三）</w:t>
      </w:r>
      <w:r>
        <w:rPr>
          <w:rFonts w:hint="eastAsia" w:ascii="仿宋_GB2312" w:hAnsi="仿宋_GB2312" w:cs="仿宋_GB2312"/>
          <w:bCs/>
          <w:sz w:val="32"/>
          <w:szCs w:val="32"/>
          <w:highlight w:val="none"/>
          <w:lang w:eastAsia="zh-CN"/>
        </w:rPr>
        <w:t>为保证评估结果的公正性，在评审过程中，磋商小组成员不得与参选单位私下交换意见，不得向任何第三人透露属于审查、澄清、评价、比较参选单位的有关情节，不得泄露参选单位的商业秘密。</w:t>
      </w:r>
    </w:p>
    <w:p>
      <w:pPr>
        <w:keepNext w:val="0"/>
        <w:keepLines w:val="0"/>
        <w:pageBreakBefore w:val="0"/>
        <w:wordWrap/>
        <w:overflowPunct/>
        <w:topLinePunct w:val="0"/>
        <w:bidi w:val="0"/>
        <w:snapToGrid w:val="0"/>
        <w:spacing w:line="578" w:lineRule="exact"/>
        <w:ind w:firstLine="640"/>
        <w:contextualSpacing/>
        <w:rPr>
          <w:rFonts w:ascii="仿宋_GB2312" w:hAnsi="仿宋_GB2312" w:cs="仿宋_GB2312"/>
          <w:sz w:val="32"/>
          <w:szCs w:val="32"/>
          <w:highlight w:val="none"/>
          <w:lang w:val="zh-TW" w:eastAsia="zh-CN"/>
        </w:rPr>
      </w:pPr>
      <w:r>
        <w:rPr>
          <w:rFonts w:hint="eastAsia" w:ascii="仿宋_GB2312" w:hAnsi="仿宋_GB2312" w:cs="仿宋_GB2312"/>
          <w:sz w:val="32"/>
          <w:szCs w:val="32"/>
          <w:highlight w:val="none"/>
          <w:lang w:eastAsia="zh-CN"/>
        </w:rPr>
        <w:t>（四）</w:t>
      </w:r>
      <w:r>
        <w:rPr>
          <w:rFonts w:hint="eastAsia" w:ascii="仿宋_GB2312" w:hAnsi="仿宋_GB2312" w:cs="仿宋_GB2312"/>
          <w:bCs/>
          <w:sz w:val="32"/>
          <w:szCs w:val="32"/>
          <w:highlight w:val="none"/>
          <w:lang w:eastAsia="zh-CN"/>
        </w:rPr>
        <w:t>任何相关人员不得询问竞争性磋商相关信息，也不得对外泄露竞争性磋商相关信息。</w:t>
      </w:r>
    </w:p>
    <w:p>
      <w:pPr>
        <w:keepNext w:val="0"/>
        <w:keepLines w:val="0"/>
        <w:pageBreakBefore w:val="0"/>
        <w:widowControl w:val="0"/>
        <w:wordWrap/>
        <w:overflowPunct/>
        <w:topLinePunct w:val="0"/>
        <w:bidi w:val="0"/>
        <w:adjustRightInd w:val="0"/>
        <w:snapToGrid w:val="0"/>
        <w:spacing w:line="578" w:lineRule="exact"/>
        <w:ind w:firstLine="64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九、其他事项</w:t>
      </w:r>
    </w:p>
    <w:p>
      <w:pPr>
        <w:keepNext w:val="0"/>
        <w:keepLines w:val="0"/>
        <w:pageBreakBefore w:val="0"/>
        <w:widowControl w:val="0"/>
        <w:wordWrap/>
        <w:overflowPunct/>
        <w:topLinePunct w:val="0"/>
        <w:bidi w:val="0"/>
        <w:adjustRightInd w:val="0"/>
        <w:snapToGrid w:val="0"/>
        <w:spacing w:line="578" w:lineRule="exact"/>
        <w:ind w:firstLine="640"/>
        <w:jc w:val="both"/>
        <w:rPr>
          <w:rFonts w:ascii="仿宋_GB2312" w:hAnsi="仿宋_GB2312" w:cs="仿宋_GB2312"/>
          <w:bCs/>
          <w:sz w:val="32"/>
          <w:szCs w:val="32"/>
          <w:highlight w:val="none"/>
          <w:lang w:eastAsia="zh-CN"/>
        </w:rPr>
      </w:pPr>
      <w:r>
        <w:rPr>
          <w:rFonts w:hint="eastAsia" w:ascii="Times New Roman" w:hAnsi="Times New Roman" w:cs="仿宋_GB2312"/>
          <w:bCs/>
          <w:sz w:val="32"/>
          <w:szCs w:val="32"/>
          <w:highlight w:val="none"/>
          <w:lang w:eastAsia="zh-CN"/>
        </w:rPr>
        <w:t>1</w:t>
      </w:r>
      <w:r>
        <w:rPr>
          <w:rFonts w:hint="eastAsia" w:ascii="仿宋_GB2312" w:hAnsi="仿宋_GB2312" w:cs="仿宋_GB2312"/>
          <w:bCs/>
          <w:sz w:val="32"/>
          <w:szCs w:val="32"/>
          <w:highlight w:val="none"/>
          <w:lang w:eastAsia="zh-CN"/>
        </w:rPr>
        <w:t>.本项目不接受联合体参加。</w:t>
      </w:r>
    </w:p>
    <w:p>
      <w:pPr>
        <w:keepNext w:val="0"/>
        <w:keepLines w:val="0"/>
        <w:pageBreakBefore w:val="0"/>
        <w:wordWrap/>
        <w:overflowPunct/>
        <w:topLinePunct w:val="0"/>
        <w:bidi w:val="0"/>
        <w:spacing w:line="578" w:lineRule="exact"/>
        <w:ind w:firstLine="640"/>
        <w:rPr>
          <w:rFonts w:hint="eastAsia" w:ascii="仿宋_GB2312" w:hAnsi="仿宋_GB2312" w:cs="仿宋_GB2312"/>
          <w:sz w:val="32"/>
          <w:szCs w:val="32"/>
          <w:highlight w:val="none"/>
          <w:lang w:eastAsia="zh-CN"/>
        </w:rPr>
      </w:pPr>
      <w:r>
        <w:rPr>
          <w:rFonts w:hint="eastAsia" w:ascii="Times New Roman" w:hAnsi="Times New Roman" w:cs="仿宋_GB2312"/>
          <w:bCs/>
          <w:sz w:val="32"/>
          <w:szCs w:val="32"/>
          <w:highlight w:val="none"/>
          <w:lang w:eastAsia="zh-CN"/>
        </w:rPr>
        <w:t>2</w:t>
      </w:r>
      <w:r>
        <w:rPr>
          <w:rFonts w:hint="eastAsia" w:ascii="仿宋_GB2312" w:hAnsi="仿宋_GB2312" w:cs="仿宋_GB2312"/>
          <w:bCs/>
          <w:sz w:val="32"/>
          <w:szCs w:val="32"/>
          <w:highlight w:val="none"/>
          <w:lang w:eastAsia="zh-CN"/>
        </w:rPr>
        <w:t>.供应商应独立完成整个项目，不得以任何形式分包或转包。（提供加盖供应商公章的承诺书）</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十、评价标准</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（一）评价原则</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遵循公平、公正、公开原则，综合考量供应商的资质能力、服务方案、报价合理性等因素，确保选择能为海南金财网络技术有限公司提供优质、高效</w:t>
      </w:r>
      <w:r>
        <w:rPr>
          <w:rFonts w:hint="eastAsia" w:ascii="仿宋_GB2312" w:hAnsi="仿宋_GB2312" w:cs="仿宋_GB2312"/>
          <w:bCs/>
          <w:sz w:val="32"/>
          <w:szCs w:val="32"/>
          <w:highlight w:val="none"/>
          <w:lang w:val="en-US" w:eastAsia="zh-CN"/>
        </w:rPr>
        <w:t>管理制度体系建设</w:t>
      </w:r>
      <w:r>
        <w:rPr>
          <w:rFonts w:hint="eastAsia" w:ascii="仿宋_GB2312" w:hAnsi="仿宋_GB2312" w:eastAsia="仿宋_GB2312" w:cs="仿宋_GB2312"/>
          <w:bCs/>
          <w:sz w:val="32"/>
          <w:szCs w:val="32"/>
          <w:highlight w:val="none"/>
          <w:lang w:eastAsia="zh-CN"/>
        </w:rPr>
        <w:t>服务的供应商。</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仿宋_GB2312" w:hAnsi="仿宋_GB2312" w:eastAsia="仿宋_GB2312" w:cs="仿宋_GB2312"/>
          <w:bCs/>
          <w:sz w:val="32"/>
          <w:szCs w:val="32"/>
          <w:highlight w:val="none"/>
          <w:lang w:eastAsia="zh-CN"/>
        </w:rPr>
      </w:pPr>
      <w:r>
        <w:rPr>
          <w:rFonts w:hint="eastAsia" w:ascii="楷体" w:hAnsi="楷体" w:eastAsia="楷体" w:cs="楷体"/>
          <w:b/>
          <w:bCs/>
          <w:sz w:val="32"/>
          <w:szCs w:val="32"/>
          <w:highlight w:val="none"/>
          <w:lang w:eastAsia="zh-CN"/>
        </w:rPr>
        <w:t>（二）评价内容及分值分配</w:t>
      </w: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0" w:firstLineChars="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结合业内供应商公司整体情况进行综合评定打分，评分表细则及标准详见下表。</w:t>
      </w:r>
    </w:p>
    <w:tbl>
      <w:tblPr>
        <w:tblStyle w:val="20"/>
        <w:tblW w:w="87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179"/>
        <w:gridCol w:w="573"/>
        <w:gridCol w:w="6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517" w:type="dxa"/>
            <w:vAlign w:val="center"/>
          </w:tcPr>
          <w:p>
            <w:pPr>
              <w:widowControl w:val="0"/>
              <w:spacing w:after="0" w:line="240" w:lineRule="auto"/>
              <w:ind w:firstLine="28" w:firstLineChars="0"/>
              <w:jc w:val="center"/>
              <w:rPr>
                <w:rFonts w:ascii="仿宋" w:hAnsi="仿宋" w:eastAsia="仿宋" w:cs="仿宋"/>
                <w:kern w:val="2"/>
                <w:sz w:val="24"/>
                <w:szCs w:val="24"/>
                <w:highlight w:val="none"/>
                <w:lang w:eastAsia="zh-CN"/>
              </w:rPr>
            </w:pPr>
            <w:r>
              <w:rPr>
                <w:rFonts w:hint="eastAsia" w:ascii="仿宋" w:hAnsi="仿宋" w:eastAsia="仿宋" w:cs="仿宋"/>
                <w:b/>
                <w:bCs/>
                <w:kern w:val="2"/>
                <w:sz w:val="24"/>
                <w:szCs w:val="24"/>
                <w:highlight w:val="none"/>
                <w:lang w:eastAsia="zh-CN"/>
              </w:rPr>
              <w:t>序号</w:t>
            </w:r>
          </w:p>
        </w:tc>
        <w:tc>
          <w:tcPr>
            <w:tcW w:w="1179" w:type="dxa"/>
            <w:vAlign w:val="center"/>
          </w:tcPr>
          <w:p>
            <w:pPr>
              <w:widowControl w:val="0"/>
              <w:spacing w:after="0" w:line="240" w:lineRule="auto"/>
              <w:ind w:firstLine="28" w:firstLineChars="0"/>
              <w:jc w:val="center"/>
              <w:rPr>
                <w:rFonts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评分因素</w:t>
            </w:r>
          </w:p>
          <w:p>
            <w:pPr>
              <w:widowControl w:val="0"/>
              <w:spacing w:after="0" w:line="240" w:lineRule="auto"/>
              <w:ind w:firstLine="28" w:firstLineChars="0"/>
              <w:jc w:val="center"/>
              <w:rPr>
                <w:rFonts w:ascii="仿宋" w:hAnsi="仿宋" w:eastAsia="仿宋" w:cs="仿宋"/>
                <w:kern w:val="2"/>
                <w:sz w:val="24"/>
                <w:szCs w:val="24"/>
                <w:highlight w:val="none"/>
                <w:lang w:eastAsia="zh-CN"/>
              </w:rPr>
            </w:pPr>
            <w:r>
              <w:rPr>
                <w:rFonts w:hint="eastAsia" w:ascii="仿宋" w:hAnsi="仿宋" w:eastAsia="仿宋" w:cs="仿宋"/>
                <w:b/>
                <w:bCs/>
                <w:kern w:val="2"/>
                <w:sz w:val="24"/>
                <w:szCs w:val="24"/>
                <w:highlight w:val="none"/>
                <w:lang w:eastAsia="zh-CN"/>
              </w:rPr>
              <w:t>及权重</w:t>
            </w:r>
          </w:p>
        </w:tc>
        <w:tc>
          <w:tcPr>
            <w:tcW w:w="573" w:type="dxa"/>
            <w:vAlign w:val="center"/>
          </w:tcPr>
          <w:p>
            <w:pPr>
              <w:widowControl w:val="0"/>
              <w:spacing w:after="0" w:line="240" w:lineRule="auto"/>
              <w:ind w:firstLine="28" w:firstLineChars="0"/>
              <w:jc w:val="center"/>
              <w:rPr>
                <w:rFonts w:ascii="仿宋" w:hAnsi="仿宋" w:eastAsia="仿宋" w:cs="仿宋"/>
                <w:kern w:val="2"/>
                <w:sz w:val="24"/>
                <w:szCs w:val="24"/>
                <w:highlight w:val="none"/>
                <w:lang w:eastAsia="zh-CN"/>
              </w:rPr>
            </w:pPr>
            <w:r>
              <w:rPr>
                <w:rFonts w:hint="eastAsia" w:ascii="仿宋" w:hAnsi="仿宋" w:eastAsia="仿宋" w:cs="仿宋"/>
                <w:b/>
                <w:bCs/>
                <w:kern w:val="2"/>
                <w:sz w:val="24"/>
                <w:szCs w:val="24"/>
                <w:highlight w:val="none"/>
                <w:lang w:eastAsia="zh-CN"/>
              </w:rPr>
              <w:t>分值</w:t>
            </w:r>
          </w:p>
        </w:tc>
        <w:tc>
          <w:tcPr>
            <w:tcW w:w="6512" w:type="dxa"/>
            <w:vAlign w:val="center"/>
          </w:tcPr>
          <w:p>
            <w:pPr>
              <w:widowControl w:val="0"/>
              <w:spacing w:after="0" w:line="240" w:lineRule="auto"/>
              <w:ind w:firstLine="28" w:firstLineChars="0"/>
              <w:jc w:val="center"/>
              <w:rPr>
                <w:rFonts w:ascii="仿宋" w:hAnsi="仿宋" w:eastAsia="仿宋" w:cs="仿宋"/>
                <w:kern w:val="2"/>
                <w:sz w:val="24"/>
                <w:szCs w:val="24"/>
                <w:highlight w:val="none"/>
                <w:lang w:eastAsia="zh-CN"/>
              </w:rPr>
            </w:pPr>
            <w:r>
              <w:rPr>
                <w:rFonts w:hint="eastAsia" w:ascii="仿宋" w:hAnsi="仿宋" w:eastAsia="仿宋" w:cs="仿宋"/>
                <w:b/>
                <w:bCs/>
                <w:kern w:val="2"/>
                <w:sz w:val="24"/>
                <w:szCs w:val="24"/>
                <w:highlight w:val="none"/>
                <w:lang w:eastAsia="zh-CN"/>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eastAsia="zh-CN"/>
              </w:rPr>
              <w:t>1</w:t>
            </w:r>
          </w:p>
        </w:tc>
        <w:tc>
          <w:tcPr>
            <w:tcW w:w="1179"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报价</w:t>
            </w:r>
          </w:p>
          <w:p>
            <w:pPr>
              <w:widowControl w:val="0"/>
              <w:snapToGrid w:val="0"/>
              <w:spacing w:after="0" w:line="240" w:lineRule="auto"/>
              <w:ind w:firstLine="0" w:firstLineChars="0"/>
              <w:jc w:val="center"/>
              <w:rPr>
                <w:rFonts w:ascii="仿宋" w:hAnsi="仿宋" w:eastAsia="仿宋" w:cs="仿宋"/>
                <w:b/>
                <w:bCs/>
                <w:kern w:val="2"/>
                <w:sz w:val="24"/>
                <w:szCs w:val="24"/>
                <w:highlight w:val="none"/>
                <w:lang w:eastAsia="zh-CN"/>
              </w:rPr>
            </w:pPr>
            <w:r>
              <w:rPr>
                <w:rFonts w:hint="eastAsia" w:ascii="Times New Roman" w:hAnsi="Times New Roman" w:eastAsia="仿宋" w:cs="仿宋"/>
                <w:kern w:val="2"/>
                <w:sz w:val="24"/>
                <w:szCs w:val="24"/>
                <w:highlight w:val="none"/>
                <w:lang w:val="en-US" w:eastAsia="zh-CN"/>
              </w:rPr>
              <w:t>3</w:t>
            </w:r>
            <w:r>
              <w:rPr>
                <w:rFonts w:hint="eastAsia" w:ascii="Times New Roman" w:hAnsi="Times New Roman" w:eastAsia="仿宋" w:cs="仿宋"/>
                <w:kern w:val="2"/>
                <w:sz w:val="24"/>
                <w:szCs w:val="24"/>
                <w:highlight w:val="none"/>
                <w:lang w:eastAsia="zh-CN"/>
              </w:rPr>
              <w:t>0</w:t>
            </w:r>
            <w:r>
              <w:rPr>
                <w:rFonts w:hint="eastAsia" w:ascii="仿宋" w:hAnsi="仿宋" w:eastAsia="仿宋" w:cs="仿宋"/>
                <w:kern w:val="2"/>
                <w:sz w:val="24"/>
                <w:szCs w:val="24"/>
                <w:highlight w:val="none"/>
                <w:lang w:eastAsia="zh-CN"/>
              </w:rPr>
              <w:t>%</w:t>
            </w:r>
          </w:p>
        </w:tc>
        <w:tc>
          <w:tcPr>
            <w:tcW w:w="573" w:type="dxa"/>
            <w:vAlign w:val="center"/>
          </w:tcPr>
          <w:p>
            <w:pPr>
              <w:widowControl w:val="0"/>
              <w:snapToGrid w:val="0"/>
              <w:spacing w:after="0" w:line="240" w:lineRule="auto"/>
              <w:ind w:firstLine="0" w:firstLineChars="0"/>
              <w:jc w:val="center"/>
              <w:rPr>
                <w:rFonts w:ascii="仿宋" w:hAnsi="仿宋" w:eastAsia="仿宋" w:cs="仿宋"/>
                <w:b/>
                <w:bCs/>
                <w:kern w:val="2"/>
                <w:sz w:val="24"/>
                <w:szCs w:val="24"/>
                <w:highlight w:val="none"/>
                <w:lang w:eastAsia="zh-CN"/>
              </w:rPr>
            </w:pPr>
            <w:r>
              <w:rPr>
                <w:rFonts w:hint="eastAsia" w:ascii="Times New Roman" w:hAnsi="Times New Roman" w:eastAsia="仿宋" w:cs="仿宋"/>
                <w:kern w:val="2"/>
                <w:sz w:val="24"/>
                <w:szCs w:val="24"/>
                <w:highlight w:val="none"/>
                <w:lang w:val="en-US" w:eastAsia="zh-CN"/>
              </w:rPr>
              <w:t>3</w:t>
            </w:r>
            <w:r>
              <w:rPr>
                <w:rFonts w:hint="eastAsia" w:ascii="Times New Roman" w:hAnsi="Times New Roman" w:eastAsia="仿宋" w:cs="仿宋"/>
                <w:kern w:val="2"/>
                <w:sz w:val="24"/>
                <w:szCs w:val="24"/>
                <w:highlight w:val="none"/>
                <w:lang w:eastAsia="zh-CN"/>
              </w:rPr>
              <w:t>0</w:t>
            </w:r>
            <w:r>
              <w:rPr>
                <w:rFonts w:hint="eastAsia" w:ascii="仿宋" w:hAnsi="仿宋" w:eastAsia="仿宋" w:cs="仿宋"/>
                <w:kern w:val="2"/>
                <w:sz w:val="24"/>
                <w:szCs w:val="24"/>
                <w:highlight w:val="none"/>
                <w:lang w:eastAsia="zh-CN"/>
              </w:rPr>
              <w:t>分</w:t>
            </w:r>
          </w:p>
        </w:tc>
        <w:tc>
          <w:tcPr>
            <w:tcW w:w="6512" w:type="dxa"/>
            <w:vAlign w:val="center"/>
          </w:tcPr>
          <w:p>
            <w:pPr>
              <w:widowControl w:val="0"/>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满足磋商文件要求且供应商报价最低的报价为基准价，其价格分为满分。其他供应商的价格分统一按照下列公式计算：</w:t>
            </w:r>
          </w:p>
          <w:p>
            <w:pPr>
              <w:widowControl w:val="0"/>
              <w:snapToGrid w:val="0"/>
              <w:spacing w:after="0" w:line="240" w:lineRule="auto"/>
              <w:ind w:firstLine="0" w:firstLineChars="0"/>
              <w:jc w:val="both"/>
              <w:rPr>
                <w:rFonts w:ascii="仿宋" w:hAnsi="仿宋" w:eastAsia="仿宋" w:cs="仿宋"/>
                <w:b/>
                <w:bCs/>
                <w:kern w:val="2"/>
                <w:sz w:val="24"/>
                <w:szCs w:val="24"/>
                <w:highlight w:val="none"/>
                <w:lang w:eastAsia="zh-CN"/>
              </w:rPr>
            </w:pPr>
            <w:r>
              <w:rPr>
                <w:rFonts w:hint="eastAsia" w:ascii="仿宋" w:hAnsi="仿宋" w:eastAsia="仿宋" w:cs="仿宋"/>
                <w:kern w:val="2"/>
                <w:sz w:val="24"/>
                <w:szCs w:val="24"/>
                <w:highlight w:val="none"/>
                <w:lang w:eastAsia="zh-CN"/>
              </w:rPr>
              <w:t>报价得分=(基准价／最终磋商报价)*</w:t>
            </w:r>
            <w:r>
              <w:rPr>
                <w:rFonts w:hint="eastAsia" w:ascii="Times New Roman" w:hAnsi="Times New Roman" w:eastAsia="仿宋" w:cs="仿宋"/>
                <w:kern w:val="2"/>
                <w:sz w:val="24"/>
                <w:szCs w:val="24"/>
                <w:highlight w:val="none"/>
                <w:lang w:val="en-US" w:eastAsia="zh-CN"/>
              </w:rPr>
              <w:t>3</w:t>
            </w:r>
            <w:r>
              <w:rPr>
                <w:rFonts w:hint="eastAsia" w:ascii="Times New Roman" w:hAnsi="Times New Roman" w:eastAsia="仿宋" w:cs="仿宋"/>
                <w:kern w:val="2"/>
                <w:sz w:val="24"/>
                <w:szCs w:val="24"/>
                <w:highlight w:val="none"/>
                <w:lang w:eastAsia="zh-CN"/>
              </w:rPr>
              <w:t>0</w:t>
            </w:r>
            <w:r>
              <w:rPr>
                <w:rFonts w:hint="eastAsia" w:ascii="仿宋" w:hAnsi="仿宋" w:eastAsia="仿宋" w:cs="仿宋"/>
                <w:kern w:val="2"/>
                <w:sz w:val="24"/>
                <w:szCs w:val="24"/>
                <w:highlight w:val="none"/>
                <w:lang w:eastAsia="zh-CN"/>
              </w:rPr>
              <w:t>%*</w:t>
            </w:r>
            <w:r>
              <w:rPr>
                <w:rFonts w:hint="eastAsia" w:ascii="Times New Roman" w:hAnsi="Times New Roman" w:eastAsia="仿宋" w:cs="仿宋"/>
                <w:kern w:val="2"/>
                <w:sz w:val="24"/>
                <w:szCs w:val="24"/>
                <w:highlight w:val="none"/>
                <w:lang w:eastAsia="zh-CN"/>
              </w:rPr>
              <w:t>100</w:t>
            </w:r>
            <w:r>
              <w:rPr>
                <w:rFonts w:hint="eastAsia" w:ascii="仿宋" w:hAnsi="仿宋" w:eastAsia="仿宋" w:cs="仿宋"/>
                <w:kern w:val="2"/>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8" w:hRule="atLeas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eastAsia="zh-CN"/>
              </w:rPr>
              <w:t>2</w:t>
            </w:r>
          </w:p>
        </w:tc>
        <w:tc>
          <w:tcPr>
            <w:tcW w:w="1179"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同类项目服务经验</w:t>
            </w:r>
            <w:r>
              <w:rPr>
                <w:rFonts w:hint="eastAsia" w:ascii="Times New Roman" w:hAnsi="Times New Roman" w:eastAsia="仿宋" w:cs="仿宋"/>
                <w:kern w:val="2"/>
                <w:sz w:val="24"/>
                <w:szCs w:val="24"/>
                <w:highlight w:val="none"/>
                <w:lang w:eastAsia="zh-CN"/>
              </w:rPr>
              <w:t>30</w:t>
            </w:r>
            <w:r>
              <w:rPr>
                <w:rFonts w:hint="eastAsia" w:ascii="仿宋" w:hAnsi="仿宋" w:eastAsia="仿宋" w:cs="仿宋"/>
                <w:kern w:val="2"/>
                <w:sz w:val="24"/>
                <w:szCs w:val="24"/>
                <w:highlight w:val="none"/>
                <w:lang w:eastAsia="zh-CN"/>
              </w:rPr>
              <w:t>%</w:t>
            </w:r>
          </w:p>
        </w:tc>
        <w:tc>
          <w:tcPr>
            <w:tcW w:w="573"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eastAsia="zh-CN"/>
              </w:rPr>
              <w:t>30</w:t>
            </w:r>
            <w:r>
              <w:rPr>
                <w:rFonts w:hint="eastAsia" w:ascii="仿宋" w:hAnsi="仿宋" w:eastAsia="仿宋" w:cs="仿宋"/>
                <w:kern w:val="2"/>
                <w:sz w:val="24"/>
                <w:szCs w:val="24"/>
                <w:highlight w:val="none"/>
                <w:lang w:eastAsia="zh-CN"/>
              </w:rPr>
              <w:t>分</w:t>
            </w:r>
          </w:p>
        </w:tc>
        <w:tc>
          <w:tcPr>
            <w:tcW w:w="6512" w:type="dxa"/>
            <w:vAlign w:val="center"/>
          </w:tcPr>
          <w:p>
            <w:pPr>
              <w:widowControl/>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供应商自至</w:t>
            </w:r>
            <w:r>
              <w:rPr>
                <w:rFonts w:hint="eastAsia" w:ascii="Times New Roman" w:hAnsi="Times New Roman" w:eastAsia="仿宋" w:cs="仿宋"/>
                <w:kern w:val="2"/>
                <w:sz w:val="24"/>
                <w:szCs w:val="24"/>
                <w:highlight w:val="none"/>
                <w:lang w:eastAsia="zh-CN"/>
              </w:rPr>
              <w:t>202</w:t>
            </w:r>
            <w:r>
              <w:rPr>
                <w:rFonts w:hint="eastAsia" w:ascii="Times New Roman" w:hAnsi="Times New Roman" w:eastAsia="仿宋" w:cs="仿宋"/>
                <w:kern w:val="2"/>
                <w:sz w:val="24"/>
                <w:szCs w:val="24"/>
                <w:highlight w:val="none"/>
                <w:lang w:val="en-US" w:eastAsia="zh-CN"/>
              </w:rPr>
              <w:t>2</w:t>
            </w:r>
            <w:r>
              <w:rPr>
                <w:rFonts w:hint="eastAsia" w:ascii="仿宋" w:hAnsi="仿宋" w:eastAsia="仿宋" w:cs="仿宋"/>
                <w:kern w:val="2"/>
                <w:sz w:val="24"/>
                <w:szCs w:val="24"/>
                <w:highlight w:val="none"/>
                <w:lang w:eastAsia="zh-CN"/>
              </w:rPr>
              <w:t>年</w:t>
            </w:r>
            <w:r>
              <w:rPr>
                <w:rFonts w:hint="eastAsia" w:ascii="Times New Roman" w:hAnsi="Times New Roman" w:eastAsia="仿宋" w:cs="仿宋"/>
                <w:kern w:val="2"/>
                <w:sz w:val="24"/>
                <w:szCs w:val="24"/>
                <w:highlight w:val="none"/>
                <w:lang w:val="en-US" w:eastAsia="zh-CN"/>
              </w:rPr>
              <w:t>10</w:t>
            </w:r>
            <w:r>
              <w:rPr>
                <w:rFonts w:hint="eastAsia" w:ascii="仿宋" w:hAnsi="仿宋" w:eastAsia="仿宋" w:cs="仿宋"/>
                <w:kern w:val="2"/>
                <w:sz w:val="24"/>
                <w:szCs w:val="24"/>
                <w:highlight w:val="none"/>
                <w:lang w:eastAsia="zh-CN"/>
              </w:rPr>
              <w:t>月</w:t>
            </w:r>
            <w:r>
              <w:rPr>
                <w:rFonts w:hint="eastAsia" w:ascii="Times New Roman" w:hAnsi="Times New Roman" w:eastAsia="仿宋" w:cs="仿宋"/>
                <w:kern w:val="2"/>
                <w:sz w:val="24"/>
                <w:szCs w:val="24"/>
                <w:highlight w:val="none"/>
                <w:lang w:eastAsia="zh-CN"/>
              </w:rPr>
              <w:t>1</w:t>
            </w:r>
            <w:r>
              <w:rPr>
                <w:rFonts w:hint="eastAsia" w:ascii="仿宋" w:hAnsi="仿宋" w:eastAsia="仿宋" w:cs="仿宋"/>
                <w:kern w:val="2"/>
                <w:sz w:val="24"/>
                <w:szCs w:val="24"/>
                <w:highlight w:val="none"/>
                <w:lang w:eastAsia="zh-CN"/>
              </w:rPr>
              <w:t>日起至本项目提交首次响应文件截止时间止（日期以合同签订时间为准）具有与本次采购同类项目业绩（主要指</w:t>
            </w:r>
            <w:r>
              <w:rPr>
                <w:rFonts w:hint="eastAsia" w:ascii="仿宋" w:hAnsi="仿宋" w:eastAsia="仿宋" w:cs="仿宋"/>
                <w:kern w:val="2"/>
                <w:sz w:val="24"/>
                <w:szCs w:val="24"/>
                <w:highlight w:val="none"/>
                <w:lang w:val="en-US" w:eastAsia="zh-CN"/>
              </w:rPr>
              <w:t>国有企业制度体系建设</w:t>
            </w:r>
            <w:r>
              <w:rPr>
                <w:rFonts w:hint="eastAsia" w:ascii="仿宋" w:hAnsi="仿宋" w:eastAsia="仿宋" w:cs="仿宋"/>
                <w:kern w:val="2"/>
                <w:sz w:val="24"/>
                <w:szCs w:val="24"/>
                <w:highlight w:val="none"/>
                <w:lang w:eastAsia="zh-CN"/>
              </w:rPr>
              <w:t>等）的，每提供一项得</w:t>
            </w:r>
            <w:r>
              <w:rPr>
                <w:rFonts w:hint="eastAsia" w:ascii="Times New Roman" w:hAnsi="Times New Roman" w:eastAsia="仿宋" w:cs="仿宋"/>
                <w:kern w:val="2"/>
                <w:sz w:val="24"/>
                <w:szCs w:val="24"/>
                <w:highlight w:val="none"/>
                <w:lang w:eastAsia="zh-CN"/>
              </w:rPr>
              <w:t>5</w:t>
            </w:r>
            <w:r>
              <w:rPr>
                <w:rFonts w:hint="eastAsia" w:ascii="仿宋" w:hAnsi="仿宋" w:eastAsia="仿宋" w:cs="仿宋"/>
                <w:kern w:val="2"/>
                <w:sz w:val="24"/>
                <w:szCs w:val="24"/>
                <w:highlight w:val="none"/>
                <w:lang w:eastAsia="zh-CN"/>
              </w:rPr>
              <w:t>分，最高得</w:t>
            </w:r>
            <w:r>
              <w:rPr>
                <w:rFonts w:hint="eastAsia" w:ascii="Times New Roman" w:hAnsi="Times New Roman" w:eastAsia="仿宋" w:cs="仿宋"/>
                <w:kern w:val="2"/>
                <w:sz w:val="24"/>
                <w:szCs w:val="24"/>
                <w:highlight w:val="none"/>
                <w:lang w:eastAsia="zh-CN"/>
              </w:rPr>
              <w:t>30</w:t>
            </w:r>
            <w:r>
              <w:rPr>
                <w:rFonts w:hint="eastAsia" w:ascii="仿宋" w:hAnsi="仿宋" w:eastAsia="仿宋" w:cs="仿宋"/>
                <w:kern w:val="2"/>
                <w:sz w:val="24"/>
                <w:szCs w:val="24"/>
                <w:highlight w:val="none"/>
                <w:lang w:eastAsia="zh-CN"/>
              </w:rPr>
              <w:t>分。</w:t>
            </w:r>
          </w:p>
          <w:p>
            <w:pPr>
              <w:widowControl w:val="0"/>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注：须提供相关网站中标/成交公告的下载网页并注明网址或中标/成交通知书复印件或采购合同复印件或能够证明该业绩项目已经采购人验收合格的相关证明文件复印件及采购人资质证明截图，如未按以上要求完整提供证明材料不得分，无业绩或未提供任何业绩证明资料的本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517" w:type="dxa"/>
            <w:shd w:val="clear" w:color="auto" w:fill="auto"/>
            <w:vAlign w:val="center"/>
          </w:tcPr>
          <w:p>
            <w:pPr>
              <w:widowControl w:val="0"/>
              <w:snapToGrid w:val="0"/>
              <w:spacing w:after="0" w:line="240" w:lineRule="auto"/>
              <w:ind w:firstLine="0" w:firstLineChars="0"/>
              <w:jc w:val="center"/>
              <w:rPr>
                <w:rFonts w:hint="eastAsia" w:ascii="仿宋" w:hAnsi="仿宋" w:eastAsia="仿宋" w:cs="仿宋"/>
                <w:kern w:val="2"/>
                <w:sz w:val="24"/>
                <w:szCs w:val="24"/>
                <w:highlight w:val="none"/>
                <w:lang w:val="en-US" w:eastAsia="zh-CN" w:bidi="ar-SA"/>
              </w:rPr>
            </w:pPr>
            <w:r>
              <w:rPr>
                <w:rFonts w:hint="eastAsia" w:ascii="Times New Roman" w:hAnsi="Times New Roman" w:eastAsia="仿宋" w:cs="仿宋"/>
                <w:kern w:val="2"/>
                <w:sz w:val="24"/>
                <w:szCs w:val="24"/>
                <w:highlight w:val="none"/>
                <w:lang w:eastAsia="zh-CN"/>
              </w:rPr>
              <w:t>3</w:t>
            </w:r>
          </w:p>
        </w:tc>
        <w:tc>
          <w:tcPr>
            <w:tcW w:w="1179" w:type="dxa"/>
            <w:vAlign w:val="center"/>
          </w:tcPr>
          <w:p>
            <w:pPr>
              <w:keepNext/>
              <w:keepLines/>
              <w:widowControl w:val="0"/>
              <w:spacing w:before="0" w:after="0" w:line="240" w:lineRule="auto"/>
              <w:ind w:firstLine="0" w:firstLineChars="0"/>
              <w:jc w:val="center"/>
              <w:outlineLvl w:val="1"/>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公司资质</w:t>
            </w:r>
            <w:r>
              <w:rPr>
                <w:rFonts w:hint="eastAsia" w:ascii="Times New Roman" w:hAnsi="Times New Roman" w:eastAsia="仿宋" w:cs="仿宋"/>
                <w:b w:val="0"/>
                <w:bCs w:val="0"/>
                <w:kern w:val="2"/>
                <w:sz w:val="24"/>
                <w:szCs w:val="24"/>
                <w:highlight w:val="none"/>
                <w:lang w:val="en-US" w:eastAsia="zh-CN" w:bidi="ar-SA"/>
              </w:rPr>
              <w:t>10</w:t>
            </w:r>
            <w:r>
              <w:rPr>
                <w:rFonts w:hint="eastAsia" w:ascii="仿宋" w:hAnsi="仿宋" w:eastAsia="仿宋" w:cs="仿宋"/>
                <w:b w:val="0"/>
                <w:bCs w:val="0"/>
                <w:kern w:val="2"/>
                <w:sz w:val="24"/>
                <w:szCs w:val="24"/>
                <w:highlight w:val="none"/>
                <w:lang w:val="en-US" w:eastAsia="zh-CN" w:bidi="ar-SA"/>
              </w:rPr>
              <w:t>%</w:t>
            </w:r>
          </w:p>
        </w:tc>
        <w:tc>
          <w:tcPr>
            <w:tcW w:w="573" w:type="dxa"/>
            <w:vAlign w:val="center"/>
          </w:tcPr>
          <w:p>
            <w:pPr>
              <w:widowControl w:val="0"/>
              <w:snapToGrid w:val="0"/>
              <w:spacing w:after="0" w:line="240" w:lineRule="auto"/>
              <w:ind w:firstLine="0" w:firstLineChars="0"/>
              <w:jc w:val="center"/>
              <w:rPr>
                <w:rFonts w:hint="default"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val="en-US" w:eastAsia="zh-CN"/>
              </w:rPr>
              <w:t>10</w:t>
            </w:r>
            <w:r>
              <w:rPr>
                <w:rFonts w:hint="default" w:eastAsia="仿宋" w:cs="仿宋"/>
                <w:kern w:val="2"/>
                <w:sz w:val="24"/>
                <w:szCs w:val="24"/>
                <w:highlight w:val="none"/>
                <w:lang w:eastAsia="zh-CN"/>
              </w:rPr>
              <w:t>分</w:t>
            </w:r>
          </w:p>
        </w:tc>
        <w:tc>
          <w:tcPr>
            <w:tcW w:w="6512" w:type="dxa"/>
            <w:vAlign w:val="center"/>
          </w:tcPr>
          <w:p>
            <w:pPr>
              <w:widowControl w:val="0"/>
              <w:snapToGrid w:val="0"/>
              <w:spacing w:after="0" w:line="240" w:lineRule="auto"/>
              <w:ind w:firstLine="0" w:firstLineChars="0"/>
              <w:jc w:val="both"/>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eastAsia="zh-CN"/>
              </w:rPr>
              <w:t>对供应商提供</w:t>
            </w:r>
            <w:r>
              <w:rPr>
                <w:rFonts w:hint="eastAsia" w:ascii="仿宋" w:hAnsi="仿宋" w:eastAsia="仿宋" w:cs="仿宋"/>
                <w:kern w:val="2"/>
                <w:sz w:val="24"/>
                <w:szCs w:val="24"/>
                <w:highlight w:val="none"/>
                <w:lang w:val="en-US" w:eastAsia="zh-CN"/>
              </w:rPr>
              <w:t>资质证书进行评分，每提供一个证书得</w:t>
            </w:r>
            <w:r>
              <w:rPr>
                <w:rFonts w:hint="eastAsia" w:ascii="Times New Roman" w:hAnsi="Times New Roman" w:eastAsia="仿宋" w:cs="仿宋"/>
                <w:kern w:val="2"/>
                <w:sz w:val="24"/>
                <w:szCs w:val="24"/>
                <w:highlight w:val="none"/>
                <w:lang w:val="en-US" w:eastAsia="zh-CN"/>
              </w:rPr>
              <w:t>2</w:t>
            </w:r>
            <w:r>
              <w:rPr>
                <w:rFonts w:hint="eastAsia" w:ascii="仿宋" w:hAnsi="仿宋" w:eastAsia="仿宋" w:cs="仿宋"/>
                <w:kern w:val="2"/>
                <w:sz w:val="24"/>
                <w:szCs w:val="24"/>
                <w:highlight w:val="none"/>
                <w:lang w:val="en-US" w:eastAsia="zh-CN"/>
              </w:rPr>
              <w:t>分，满分</w:t>
            </w:r>
            <w:r>
              <w:rPr>
                <w:rFonts w:hint="eastAsia" w:ascii="Times New Roman" w:hAnsi="Times New Roman" w:eastAsia="仿宋" w:cs="仿宋"/>
                <w:kern w:val="2"/>
                <w:sz w:val="24"/>
                <w:szCs w:val="24"/>
                <w:highlight w:val="none"/>
                <w:lang w:val="en-US" w:eastAsia="zh-CN"/>
              </w:rPr>
              <w:t>10</w:t>
            </w:r>
            <w:r>
              <w:rPr>
                <w:rFonts w:hint="eastAsia" w:ascii="仿宋" w:hAnsi="仿宋" w:eastAsia="仿宋" w:cs="仿宋"/>
                <w:kern w:val="2"/>
                <w:sz w:val="24"/>
                <w:szCs w:val="24"/>
                <w:highlight w:val="none"/>
                <w:lang w:val="en-US" w:eastAsia="zh-CN"/>
              </w:rPr>
              <w:t>分。</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具有</w:t>
            </w:r>
            <w:r>
              <w:rPr>
                <w:rFonts w:hint="eastAsia" w:ascii="Times New Roman" w:hAnsi="Times New Roman" w:eastAsia="仿宋" w:cs="仿宋"/>
                <w:kern w:val="2"/>
                <w:sz w:val="24"/>
                <w:szCs w:val="24"/>
                <w:highlight w:val="none"/>
                <w:lang w:eastAsia="zh-CN"/>
              </w:rPr>
              <w:t>ISO9001</w:t>
            </w:r>
            <w:r>
              <w:rPr>
                <w:rFonts w:hint="eastAsia" w:ascii="仿宋" w:hAnsi="仿宋" w:eastAsia="仿宋" w:cs="仿宋"/>
                <w:kern w:val="2"/>
                <w:sz w:val="24"/>
                <w:szCs w:val="24"/>
                <w:highlight w:val="none"/>
                <w:lang w:eastAsia="zh-CN"/>
              </w:rPr>
              <w:t>质量管理体系证书</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具有环境管理体系认证证书</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具有信息安全管理体系认证证书</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具有信息技术服务管理体系认证证书</w:t>
            </w:r>
          </w:p>
          <w:p>
            <w:pPr>
              <w:widowControl w:val="0"/>
              <w:snapToGrid w:val="0"/>
              <w:spacing w:after="0" w:line="240" w:lineRule="auto"/>
              <w:ind w:firstLine="0" w:firstLineChars="0"/>
              <w:jc w:val="both"/>
              <w:rPr>
                <w:rFonts w:hint="eastAsia" w:ascii="Times New Roman" w:hAnsi="Times New Roman" w:eastAsia="宋体" w:cs="Times New Roman"/>
                <w:kern w:val="2"/>
                <w:sz w:val="21"/>
                <w:szCs w:val="24"/>
                <w:highlight w:val="none"/>
                <w:lang w:eastAsia="zh-CN"/>
              </w:rPr>
            </w:pPr>
            <w:r>
              <w:rPr>
                <w:rFonts w:hint="eastAsia" w:ascii="仿宋" w:hAnsi="仿宋" w:eastAsia="仿宋" w:cs="仿宋"/>
                <w:kern w:val="2"/>
                <w:sz w:val="24"/>
                <w:szCs w:val="24"/>
                <w:highlight w:val="none"/>
                <w:lang w:eastAsia="zh-CN"/>
              </w:rPr>
              <w:t>企业信用等级</w:t>
            </w:r>
            <w:r>
              <w:rPr>
                <w:rFonts w:hint="eastAsia" w:ascii="Times New Roman" w:hAnsi="Times New Roman" w:eastAsia="仿宋" w:cs="仿宋"/>
                <w:kern w:val="2"/>
                <w:sz w:val="24"/>
                <w:szCs w:val="24"/>
                <w:highlight w:val="none"/>
                <w:lang w:eastAsia="zh-CN"/>
              </w:rPr>
              <w:t>AAA</w:t>
            </w:r>
            <w:r>
              <w:rPr>
                <w:rFonts w:hint="eastAsia" w:ascii="仿宋" w:hAnsi="仿宋" w:eastAsia="仿宋" w:cs="仿宋"/>
                <w:kern w:val="2"/>
                <w:sz w:val="24"/>
                <w:szCs w:val="24"/>
                <w:highlight w:val="none"/>
                <w:lang w:eastAsia="zh-CN"/>
              </w:rPr>
              <w:t>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val="en-US" w:eastAsia="zh-CN" w:bidi="ar-SA"/>
              </w:rPr>
            </w:pPr>
            <w:r>
              <w:rPr>
                <w:rFonts w:hint="eastAsia" w:ascii="Times New Roman" w:hAnsi="Times New Roman" w:eastAsia="仿宋" w:cs="仿宋"/>
                <w:kern w:val="2"/>
                <w:sz w:val="24"/>
                <w:szCs w:val="24"/>
                <w:highlight w:val="none"/>
                <w:lang w:eastAsia="zh-CN"/>
              </w:rPr>
              <w:t>4</w:t>
            </w:r>
          </w:p>
        </w:tc>
        <w:tc>
          <w:tcPr>
            <w:tcW w:w="1179" w:type="dxa"/>
            <w:vAlign w:val="center"/>
          </w:tcPr>
          <w:p>
            <w:pPr>
              <w:widowControl w:val="0"/>
              <w:snapToGrid w:val="0"/>
              <w:spacing w:after="0" w:line="240" w:lineRule="auto"/>
              <w:ind w:firstLine="0" w:firstLineChars="0"/>
              <w:jc w:val="center"/>
              <w:rPr>
                <w:rFonts w:hint="default" w:ascii="Times New Roman" w:hAnsi="Times New Roman" w:eastAsia="宋体" w:cs="Times New Roman"/>
                <w:kern w:val="2"/>
                <w:sz w:val="21"/>
                <w:szCs w:val="24"/>
                <w:highlight w:val="none"/>
                <w:lang w:val="en-US" w:eastAsia="zh-CN"/>
              </w:rPr>
            </w:pPr>
            <w:r>
              <w:rPr>
                <w:rFonts w:hint="eastAsia" w:ascii="仿宋" w:hAnsi="仿宋" w:eastAsia="仿宋" w:cs="仿宋"/>
                <w:kern w:val="2"/>
                <w:sz w:val="24"/>
                <w:szCs w:val="24"/>
                <w:highlight w:val="none"/>
                <w:lang w:eastAsia="zh-CN"/>
              </w:rPr>
              <w:t>项目</w:t>
            </w:r>
            <w:r>
              <w:rPr>
                <w:rFonts w:hint="eastAsia" w:eastAsia="仿宋" w:cs="仿宋"/>
                <w:kern w:val="2"/>
                <w:sz w:val="24"/>
                <w:szCs w:val="24"/>
                <w:highlight w:val="none"/>
                <w:lang w:val="en-US" w:eastAsia="zh-CN"/>
              </w:rPr>
              <w:t>团队</w:t>
            </w:r>
          </w:p>
          <w:p>
            <w:pPr>
              <w:keepNext/>
              <w:keepLines/>
              <w:widowControl w:val="0"/>
              <w:spacing w:before="0" w:after="0" w:line="240" w:lineRule="auto"/>
              <w:ind w:firstLine="0" w:firstLineChars="0"/>
              <w:jc w:val="center"/>
              <w:outlineLvl w:val="1"/>
              <w:rPr>
                <w:rFonts w:ascii="Arial" w:hAnsi="Arial" w:eastAsia="黑体" w:cs="Times New Roman"/>
                <w:b/>
                <w:bCs/>
                <w:kern w:val="2"/>
                <w:sz w:val="32"/>
                <w:szCs w:val="32"/>
                <w:highlight w:val="none"/>
                <w:lang w:val="en-US" w:eastAsia="zh-CN" w:bidi="ar-SA"/>
              </w:rPr>
            </w:pPr>
            <w:r>
              <w:rPr>
                <w:rFonts w:hint="eastAsia" w:ascii="Times New Roman" w:hAnsi="Times New Roman" w:eastAsia="仿宋" w:cs="仿宋"/>
                <w:b w:val="0"/>
                <w:bCs w:val="0"/>
                <w:kern w:val="2"/>
                <w:sz w:val="24"/>
                <w:szCs w:val="24"/>
                <w:highlight w:val="none"/>
                <w:lang w:val="en-US" w:eastAsia="zh-CN" w:bidi="ar-SA"/>
              </w:rPr>
              <w:t>10</w:t>
            </w:r>
            <w:r>
              <w:rPr>
                <w:rFonts w:hint="eastAsia" w:ascii="仿宋" w:hAnsi="仿宋" w:eastAsia="仿宋" w:cs="仿宋"/>
                <w:b w:val="0"/>
                <w:bCs w:val="0"/>
                <w:kern w:val="2"/>
                <w:sz w:val="24"/>
                <w:szCs w:val="24"/>
                <w:highlight w:val="none"/>
                <w:lang w:val="en-US" w:eastAsia="zh-CN" w:bidi="ar-SA"/>
              </w:rPr>
              <w:t>%</w:t>
            </w:r>
          </w:p>
        </w:tc>
        <w:tc>
          <w:tcPr>
            <w:tcW w:w="573"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eastAsia="zh-CN"/>
              </w:rPr>
              <w:t>1</w:t>
            </w:r>
            <w:r>
              <w:rPr>
                <w:rFonts w:hint="eastAsia" w:ascii="Times New Roman" w:hAnsi="Times New Roman" w:eastAsia="仿宋" w:cs="仿宋"/>
                <w:kern w:val="2"/>
                <w:sz w:val="24"/>
                <w:szCs w:val="24"/>
                <w:highlight w:val="none"/>
                <w:lang w:val="en-US" w:eastAsia="zh-CN"/>
              </w:rPr>
              <w:t>0</w:t>
            </w:r>
            <w:r>
              <w:rPr>
                <w:rFonts w:hint="eastAsia" w:ascii="仿宋" w:hAnsi="仿宋" w:eastAsia="仿宋" w:cs="仿宋"/>
                <w:kern w:val="2"/>
                <w:sz w:val="24"/>
                <w:szCs w:val="24"/>
                <w:highlight w:val="none"/>
                <w:lang w:eastAsia="zh-CN"/>
              </w:rPr>
              <w:t>分</w:t>
            </w:r>
          </w:p>
        </w:tc>
        <w:tc>
          <w:tcPr>
            <w:tcW w:w="6512" w:type="dxa"/>
            <w:vAlign w:val="center"/>
          </w:tcPr>
          <w:p>
            <w:pPr>
              <w:widowControl/>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eastAsia="zh-CN"/>
              </w:rPr>
              <w:t>１</w:t>
            </w:r>
            <w:r>
              <w:rPr>
                <w:rFonts w:hint="eastAsia" w:eastAsia="仿宋" w:cs="仿宋"/>
                <w:kern w:val="2"/>
                <w:sz w:val="24"/>
                <w:szCs w:val="24"/>
                <w:highlight w:val="none"/>
                <w:lang w:val="en-US" w:eastAsia="zh-CN"/>
              </w:rPr>
              <w:t>.</w:t>
            </w:r>
            <w:r>
              <w:rPr>
                <w:rFonts w:hint="eastAsia" w:ascii="仿宋" w:hAnsi="仿宋" w:eastAsia="仿宋" w:cs="仿宋"/>
                <w:kern w:val="2"/>
                <w:sz w:val="24"/>
                <w:szCs w:val="24"/>
                <w:highlight w:val="none"/>
                <w:lang w:eastAsia="zh-CN"/>
              </w:rPr>
              <w:t>拟投入本项目的驻场项目负责人负责过</w:t>
            </w:r>
            <w:r>
              <w:rPr>
                <w:rFonts w:hint="eastAsia" w:ascii="仿宋" w:hAnsi="仿宋" w:eastAsia="仿宋" w:cs="仿宋"/>
                <w:kern w:val="2"/>
                <w:sz w:val="24"/>
                <w:szCs w:val="24"/>
                <w:highlight w:val="none"/>
                <w:lang w:val="en-US" w:eastAsia="zh-CN"/>
              </w:rPr>
              <w:t>制度体系</w:t>
            </w:r>
            <w:r>
              <w:rPr>
                <w:rFonts w:hint="eastAsia" w:ascii="仿宋" w:hAnsi="仿宋" w:eastAsia="仿宋" w:cs="仿宋"/>
                <w:kern w:val="2"/>
                <w:sz w:val="24"/>
                <w:szCs w:val="24"/>
                <w:highlight w:val="none"/>
                <w:lang w:eastAsia="zh-CN"/>
              </w:rPr>
              <w:t>建设工作的，每负责一个项目得</w:t>
            </w:r>
            <w:r>
              <w:rPr>
                <w:rFonts w:hint="eastAsia" w:ascii="Times New Roman" w:hAnsi="Times New Roman" w:eastAsia="仿宋" w:cs="仿宋"/>
                <w:kern w:val="2"/>
                <w:sz w:val="24"/>
                <w:szCs w:val="24"/>
                <w:highlight w:val="none"/>
                <w:lang w:eastAsia="zh-CN"/>
              </w:rPr>
              <w:t>2</w:t>
            </w:r>
            <w:r>
              <w:rPr>
                <w:rFonts w:hint="eastAsia" w:ascii="仿宋" w:hAnsi="仿宋" w:eastAsia="仿宋" w:cs="仿宋"/>
                <w:kern w:val="2"/>
                <w:sz w:val="24"/>
                <w:szCs w:val="24"/>
                <w:highlight w:val="none"/>
                <w:lang w:eastAsia="zh-CN"/>
              </w:rPr>
              <w:t>分，满分</w:t>
            </w:r>
            <w:r>
              <w:rPr>
                <w:rFonts w:hint="eastAsia" w:ascii="Times New Roman" w:hAnsi="Times New Roman" w:eastAsia="仿宋" w:cs="仿宋"/>
                <w:kern w:val="2"/>
                <w:sz w:val="24"/>
                <w:szCs w:val="24"/>
                <w:highlight w:val="none"/>
                <w:lang w:val="en-US" w:eastAsia="zh-CN"/>
              </w:rPr>
              <w:t>4</w:t>
            </w:r>
            <w:r>
              <w:rPr>
                <w:rFonts w:hint="eastAsia" w:ascii="仿宋" w:hAnsi="仿宋" w:eastAsia="仿宋" w:cs="仿宋"/>
                <w:kern w:val="2"/>
                <w:sz w:val="24"/>
                <w:szCs w:val="24"/>
                <w:highlight w:val="none"/>
                <w:lang w:eastAsia="zh-CN"/>
              </w:rPr>
              <w:t>分。</w:t>
            </w:r>
          </w:p>
          <w:p>
            <w:pPr>
              <w:widowControl w:val="0"/>
              <w:snapToGrid w:val="0"/>
              <w:spacing w:after="0" w:line="240" w:lineRule="auto"/>
              <w:ind w:firstLine="0" w:firstLineChars="0"/>
              <w:jc w:val="both"/>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注：须提供相关证明文件（如含有项目负责人签字或盖章的成果报告或合同复印件或用户证明等材料）及</w:t>
            </w:r>
            <w:r>
              <w:rPr>
                <w:rFonts w:hint="eastAsia" w:ascii="Times New Roman" w:hAnsi="Times New Roman" w:eastAsia="仿宋" w:cs="仿宋"/>
                <w:kern w:val="2"/>
                <w:sz w:val="24"/>
                <w:szCs w:val="24"/>
                <w:highlight w:val="none"/>
                <w:lang w:eastAsia="zh-CN"/>
              </w:rPr>
              <w:t>2025</w:t>
            </w:r>
            <w:r>
              <w:rPr>
                <w:rFonts w:hint="eastAsia" w:ascii="仿宋" w:hAnsi="仿宋" w:eastAsia="仿宋" w:cs="仿宋"/>
                <w:kern w:val="2"/>
                <w:sz w:val="24"/>
                <w:szCs w:val="24"/>
                <w:highlight w:val="none"/>
                <w:lang w:eastAsia="zh-CN"/>
              </w:rPr>
              <w:t>年</w:t>
            </w:r>
            <w:r>
              <w:rPr>
                <w:rFonts w:hint="eastAsia" w:ascii="Times New Roman" w:hAnsi="Times New Roman" w:eastAsia="仿宋" w:cs="仿宋"/>
                <w:kern w:val="2"/>
                <w:sz w:val="24"/>
                <w:szCs w:val="24"/>
                <w:highlight w:val="none"/>
                <w:lang w:eastAsia="zh-CN"/>
              </w:rPr>
              <w:t>1</w:t>
            </w:r>
            <w:r>
              <w:rPr>
                <w:rFonts w:hint="eastAsia" w:ascii="仿宋" w:hAnsi="仿宋" w:eastAsia="仿宋" w:cs="仿宋"/>
                <w:kern w:val="2"/>
                <w:sz w:val="24"/>
                <w:szCs w:val="24"/>
                <w:highlight w:val="none"/>
                <w:lang w:eastAsia="zh-CN"/>
              </w:rPr>
              <w:t>月至</w:t>
            </w:r>
            <w:r>
              <w:rPr>
                <w:rFonts w:hint="eastAsia" w:ascii="Times New Roman" w:hAnsi="Times New Roman" w:eastAsia="仿宋" w:cs="仿宋"/>
                <w:kern w:val="2"/>
                <w:sz w:val="24"/>
                <w:szCs w:val="24"/>
                <w:highlight w:val="none"/>
                <w:lang w:eastAsia="zh-CN"/>
              </w:rPr>
              <w:t>6</w:t>
            </w:r>
            <w:r>
              <w:rPr>
                <w:rFonts w:hint="eastAsia" w:ascii="仿宋" w:hAnsi="仿宋" w:eastAsia="仿宋" w:cs="仿宋"/>
                <w:kern w:val="2"/>
                <w:sz w:val="24"/>
                <w:szCs w:val="24"/>
                <w:highlight w:val="none"/>
                <w:lang w:eastAsia="zh-CN"/>
              </w:rPr>
              <w:t>月任意连续三个月供应商为其缴纳的社保证明材料并加盖供应商单位公章，否则不得分。</w:t>
            </w:r>
          </w:p>
          <w:p>
            <w:pPr>
              <w:widowControl w:val="0"/>
              <w:snapToGrid w:val="0"/>
              <w:spacing w:after="0" w:line="240" w:lineRule="auto"/>
              <w:ind w:firstLine="0" w:firstLineChars="0"/>
              <w:jc w:val="both"/>
              <w:rPr>
                <w:rFonts w:hint="eastAsia" w:eastAsia="仿宋" w:cs="仿宋"/>
                <w:kern w:val="2"/>
                <w:sz w:val="24"/>
                <w:szCs w:val="24"/>
                <w:highlight w:val="none"/>
                <w:lang w:val="en-US" w:eastAsia="zh-CN"/>
              </w:rPr>
            </w:pPr>
            <w:r>
              <w:rPr>
                <w:rFonts w:hint="eastAsia" w:ascii="Times New Roman" w:hAnsi="Times New Roman" w:eastAsia="仿宋" w:cs="仿宋"/>
                <w:kern w:val="2"/>
                <w:sz w:val="24"/>
                <w:szCs w:val="24"/>
                <w:highlight w:val="none"/>
                <w:lang w:eastAsia="zh-CN"/>
              </w:rPr>
              <w:t>２</w:t>
            </w:r>
            <w:r>
              <w:rPr>
                <w:rFonts w:hint="eastAsia" w:eastAsia="仿宋" w:cs="仿宋"/>
                <w:kern w:val="2"/>
                <w:sz w:val="24"/>
                <w:szCs w:val="24"/>
                <w:highlight w:val="none"/>
                <w:lang w:val="en-US" w:eastAsia="zh-CN"/>
              </w:rPr>
              <w:t>.拟投入本项目的驻场团队其他成员（除项目负责人外）具备中国注册会计师</w:t>
            </w:r>
            <w:r>
              <w:rPr>
                <w:rFonts w:hint="eastAsia" w:ascii="Times New Roman" w:hAnsi="Times New Roman" w:eastAsia="仿宋" w:cs="仿宋"/>
                <w:kern w:val="2"/>
                <w:sz w:val="24"/>
                <w:szCs w:val="24"/>
                <w:highlight w:val="none"/>
                <w:lang w:val="en-US" w:eastAsia="zh-CN"/>
              </w:rPr>
              <w:t>CPA</w:t>
            </w:r>
            <w:r>
              <w:rPr>
                <w:rFonts w:hint="eastAsia" w:eastAsia="仿宋" w:cs="仿宋"/>
                <w:kern w:val="2"/>
                <w:sz w:val="24"/>
                <w:szCs w:val="24"/>
                <w:highlight w:val="none"/>
                <w:lang w:val="en-US" w:eastAsia="zh-CN"/>
              </w:rPr>
              <w:t>（无论执业还是非执业）或</w:t>
            </w:r>
            <w:r>
              <w:rPr>
                <w:rFonts w:hint="eastAsia" w:ascii="Times New Roman" w:hAnsi="Times New Roman" w:eastAsia="仿宋" w:cs="仿宋"/>
                <w:kern w:val="2"/>
                <w:sz w:val="24"/>
                <w:szCs w:val="24"/>
                <w:highlight w:val="none"/>
                <w:lang w:val="en-US" w:eastAsia="zh-CN"/>
              </w:rPr>
              <w:t>CIA</w:t>
            </w:r>
            <w:r>
              <w:rPr>
                <w:rFonts w:hint="eastAsia" w:eastAsia="仿宋" w:cs="仿宋"/>
                <w:kern w:val="2"/>
                <w:sz w:val="24"/>
                <w:szCs w:val="24"/>
                <w:highlight w:val="none"/>
                <w:lang w:val="en-US" w:eastAsia="zh-CN"/>
              </w:rPr>
              <w:t>国际注册内部审计师证书的，加</w:t>
            </w:r>
            <w:r>
              <w:rPr>
                <w:rFonts w:hint="eastAsia" w:ascii="Times New Roman" w:hAnsi="Times New Roman" w:eastAsia="仿宋" w:cs="仿宋"/>
                <w:kern w:val="2"/>
                <w:sz w:val="24"/>
                <w:szCs w:val="24"/>
                <w:highlight w:val="none"/>
                <w:lang w:val="en-US" w:eastAsia="zh-CN"/>
              </w:rPr>
              <w:t>3</w:t>
            </w:r>
            <w:r>
              <w:rPr>
                <w:rFonts w:hint="eastAsia" w:eastAsia="仿宋" w:cs="仿宋"/>
                <w:kern w:val="2"/>
                <w:sz w:val="24"/>
                <w:szCs w:val="24"/>
                <w:highlight w:val="none"/>
                <w:lang w:val="en-US" w:eastAsia="zh-CN"/>
              </w:rPr>
              <w:t>分；最高得分</w:t>
            </w:r>
            <w:r>
              <w:rPr>
                <w:rFonts w:hint="eastAsia" w:ascii="Times New Roman" w:hAnsi="Times New Roman" w:eastAsia="仿宋" w:cs="仿宋"/>
                <w:kern w:val="2"/>
                <w:sz w:val="24"/>
                <w:szCs w:val="24"/>
                <w:highlight w:val="none"/>
                <w:lang w:val="en-US" w:eastAsia="zh-CN"/>
              </w:rPr>
              <w:t>6</w:t>
            </w:r>
            <w:r>
              <w:rPr>
                <w:rFonts w:hint="eastAsia" w:eastAsia="仿宋" w:cs="仿宋"/>
                <w:kern w:val="2"/>
                <w:sz w:val="24"/>
                <w:szCs w:val="24"/>
                <w:highlight w:val="none"/>
                <w:lang w:val="en-US" w:eastAsia="zh-CN"/>
              </w:rPr>
              <w:t>分。</w:t>
            </w:r>
          </w:p>
          <w:p>
            <w:pPr>
              <w:widowControl w:val="0"/>
              <w:snapToGrid w:val="0"/>
              <w:spacing w:after="0" w:line="240" w:lineRule="auto"/>
              <w:ind w:firstLine="0" w:firstLineChars="0"/>
              <w:jc w:val="both"/>
              <w:rPr>
                <w:rFonts w:hint="eastAsia" w:eastAsia="仿宋" w:cs="仿宋"/>
                <w:kern w:val="2"/>
                <w:sz w:val="24"/>
                <w:szCs w:val="24"/>
                <w:highlight w:val="none"/>
                <w:lang w:val="en-US" w:eastAsia="zh-CN"/>
              </w:rPr>
            </w:pPr>
            <w:r>
              <w:rPr>
                <w:rFonts w:hint="eastAsia" w:eastAsia="仿宋" w:cs="仿宋"/>
                <w:kern w:val="2"/>
                <w:sz w:val="24"/>
                <w:szCs w:val="24"/>
                <w:highlight w:val="none"/>
                <w:lang w:val="en-US" w:eastAsia="zh-CN"/>
              </w:rPr>
              <w:t>注：须同时提供人员的学历证书复印件或有效证书证明资料及</w:t>
            </w:r>
            <w:r>
              <w:rPr>
                <w:rFonts w:hint="eastAsia" w:ascii="Times New Roman" w:hAnsi="Times New Roman" w:eastAsia="仿宋" w:cs="仿宋"/>
                <w:kern w:val="2"/>
                <w:sz w:val="24"/>
                <w:szCs w:val="24"/>
                <w:highlight w:val="none"/>
                <w:lang w:val="en-US" w:eastAsia="zh-CN"/>
              </w:rPr>
              <w:t>2025</w:t>
            </w:r>
            <w:r>
              <w:rPr>
                <w:rFonts w:hint="eastAsia" w:eastAsia="仿宋" w:cs="仿宋"/>
                <w:kern w:val="2"/>
                <w:sz w:val="24"/>
                <w:szCs w:val="24"/>
                <w:highlight w:val="none"/>
                <w:lang w:val="en-US" w:eastAsia="zh-CN"/>
              </w:rPr>
              <w:t>年</w:t>
            </w:r>
            <w:r>
              <w:rPr>
                <w:rFonts w:hint="eastAsia" w:ascii="Times New Roman" w:hAnsi="Times New Roman" w:eastAsia="仿宋" w:cs="仿宋"/>
                <w:kern w:val="2"/>
                <w:sz w:val="24"/>
                <w:szCs w:val="24"/>
                <w:highlight w:val="none"/>
                <w:lang w:val="en-US" w:eastAsia="zh-CN"/>
              </w:rPr>
              <w:t>1</w:t>
            </w:r>
            <w:r>
              <w:rPr>
                <w:rFonts w:hint="eastAsia" w:eastAsia="仿宋" w:cs="仿宋"/>
                <w:kern w:val="2"/>
                <w:sz w:val="24"/>
                <w:szCs w:val="24"/>
                <w:highlight w:val="none"/>
                <w:lang w:val="en-US" w:eastAsia="zh-CN"/>
              </w:rPr>
              <w:t>月至</w:t>
            </w:r>
            <w:r>
              <w:rPr>
                <w:rFonts w:hint="eastAsia" w:ascii="Times New Roman" w:hAnsi="Times New Roman" w:eastAsia="仿宋" w:cs="仿宋"/>
                <w:kern w:val="2"/>
                <w:sz w:val="24"/>
                <w:szCs w:val="24"/>
                <w:highlight w:val="none"/>
                <w:lang w:val="en-US" w:eastAsia="zh-CN"/>
              </w:rPr>
              <w:t>6</w:t>
            </w:r>
            <w:r>
              <w:rPr>
                <w:rFonts w:hint="eastAsia" w:eastAsia="仿宋" w:cs="仿宋"/>
                <w:kern w:val="2"/>
                <w:sz w:val="24"/>
                <w:szCs w:val="24"/>
                <w:highlight w:val="none"/>
                <w:lang w:val="en-US" w:eastAsia="zh-CN"/>
              </w:rPr>
              <w:t>月任意连续三个月供应商为其缴纳的社保证明材料并加盖供应商单位公章，否则不得分。</w:t>
            </w:r>
          </w:p>
          <w:p>
            <w:pPr>
              <w:widowControl w:val="0"/>
              <w:snapToGrid w:val="0"/>
              <w:spacing w:after="0" w:line="240" w:lineRule="auto"/>
              <w:ind w:firstLine="0" w:firstLineChars="0"/>
              <w:jc w:val="both"/>
              <w:rPr>
                <w:rFonts w:hint="default" w:ascii="仿宋" w:hAnsi="仿宋" w:eastAsia="仿宋" w:cs="仿宋"/>
                <w:kern w:val="2"/>
                <w:sz w:val="24"/>
                <w:szCs w:val="24"/>
                <w:highlight w:val="none"/>
                <w:lang w:val="en-US" w:eastAsia="zh-CN"/>
              </w:rPr>
            </w:pPr>
            <w:r>
              <w:rPr>
                <w:rFonts w:hint="eastAsia" w:eastAsia="仿宋" w:cs="仿宋"/>
                <w:kern w:val="2"/>
                <w:sz w:val="24"/>
                <w:szCs w:val="24"/>
                <w:highlight w:val="none"/>
                <w:lang w:val="en-US" w:eastAsia="zh-CN"/>
              </w:rPr>
              <w:t>如果拟投入本项目的驻场人员有多种学历的，以最高学历为准。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jc w:val="center"/>
        </w:trPr>
        <w:tc>
          <w:tcPr>
            <w:tcW w:w="517" w:type="dxa"/>
            <w:shd w:val="clear" w:color="auto" w:fill="auto"/>
            <w:vAlign w:val="center"/>
          </w:tcPr>
          <w:p>
            <w:pPr>
              <w:widowControl w:val="0"/>
              <w:snapToGrid w:val="0"/>
              <w:spacing w:after="0" w:line="240" w:lineRule="auto"/>
              <w:ind w:firstLine="0" w:firstLineChars="0"/>
              <w:jc w:val="center"/>
              <w:rPr>
                <w:rFonts w:hint="default" w:ascii="仿宋" w:hAnsi="仿宋" w:eastAsia="仿宋" w:cs="仿宋"/>
                <w:kern w:val="2"/>
                <w:sz w:val="24"/>
                <w:szCs w:val="24"/>
                <w:highlight w:val="none"/>
                <w:lang w:val="en-US" w:eastAsia="zh-CN" w:bidi="ar-SA"/>
              </w:rPr>
            </w:pPr>
            <w:r>
              <w:rPr>
                <w:rFonts w:hint="eastAsia" w:ascii="Times New Roman" w:hAnsi="Times New Roman" w:eastAsia="仿宋" w:cs="仿宋"/>
                <w:kern w:val="2"/>
                <w:sz w:val="24"/>
                <w:szCs w:val="24"/>
                <w:highlight w:val="none"/>
                <w:lang w:val="en-US" w:eastAsia="zh-CN"/>
              </w:rPr>
              <w:t>5</w:t>
            </w:r>
          </w:p>
        </w:tc>
        <w:tc>
          <w:tcPr>
            <w:tcW w:w="1179"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仿宋" w:hAnsi="仿宋" w:eastAsia="仿宋" w:cs="仿宋"/>
                <w:kern w:val="0"/>
                <w:sz w:val="24"/>
                <w:szCs w:val="24"/>
                <w:highlight w:val="none"/>
                <w:lang w:eastAsia="zh-Hans"/>
              </w:rPr>
              <w:t>项目重点难点分析</w:t>
            </w:r>
            <w:r>
              <w:rPr>
                <w:rFonts w:hint="eastAsia" w:ascii="Times New Roman" w:hAnsi="Times New Roman"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w:t>
            </w:r>
          </w:p>
        </w:tc>
        <w:tc>
          <w:tcPr>
            <w:tcW w:w="573"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分</w:t>
            </w:r>
          </w:p>
        </w:tc>
        <w:tc>
          <w:tcPr>
            <w:tcW w:w="6512" w:type="dxa"/>
            <w:vAlign w:val="center"/>
          </w:tcPr>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对供应商提供的对</w:t>
            </w:r>
            <w:r>
              <w:rPr>
                <w:rFonts w:hint="eastAsia" w:eastAsia="仿宋" w:cs="仿宋"/>
                <w:kern w:val="2"/>
                <w:sz w:val="24"/>
                <w:szCs w:val="24"/>
                <w:highlight w:val="none"/>
                <w:lang w:eastAsia="zh-CN"/>
              </w:rPr>
              <w:t>本</w:t>
            </w:r>
            <w:r>
              <w:rPr>
                <w:rFonts w:hint="eastAsia" w:ascii="仿宋" w:hAnsi="仿宋" w:eastAsia="仿宋" w:cs="仿宋"/>
                <w:kern w:val="2"/>
                <w:sz w:val="24"/>
                <w:szCs w:val="24"/>
                <w:highlight w:val="none"/>
                <w:lang w:eastAsia="zh-CN"/>
              </w:rPr>
              <w:t>项目实施理解和重点难点的分析进行评分：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①对项目需求的理解透彻，重点难点分析准确到位，应对措施合理、切实可行，得</w:t>
            </w:r>
            <w:r>
              <w:rPr>
                <w:rFonts w:hint="eastAsia" w:ascii="Times New Roman" w:hAnsi="Times New Roman" w:eastAsia="仿宋" w:cs="仿宋"/>
                <w:kern w:val="2"/>
                <w:sz w:val="24"/>
                <w:szCs w:val="24"/>
                <w:highlight w:val="none"/>
                <w:lang w:val="en-US" w:eastAsia="zh-CN"/>
              </w:rPr>
              <w:t>4</w:t>
            </w:r>
            <w:r>
              <w:rPr>
                <w:rFonts w:hint="eastAsia" w:eastAsia="仿宋" w:cs="仿宋"/>
                <w:kern w:val="2"/>
                <w:sz w:val="24"/>
                <w:szCs w:val="24"/>
                <w:highlight w:val="none"/>
                <w:lang w:val="en-US" w:eastAsia="zh-CN"/>
              </w:rPr>
              <w:t>-</w:t>
            </w:r>
            <w:r>
              <w:rPr>
                <w:rFonts w:hint="eastAsia" w:ascii="Times New Roman" w:hAnsi="Times New Roman"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②对项目需求有一定的理解，重点难点分析较准确，应对措施基本合理，得</w:t>
            </w:r>
            <w:r>
              <w:rPr>
                <w:rFonts w:hint="eastAsia" w:ascii="Times New Roman" w:hAnsi="Times New Roman" w:eastAsia="仿宋" w:cs="仿宋"/>
                <w:kern w:val="2"/>
                <w:sz w:val="24"/>
                <w:szCs w:val="24"/>
                <w:highlight w:val="none"/>
                <w:lang w:val="en-US" w:eastAsia="zh-CN"/>
              </w:rPr>
              <w:t>2</w:t>
            </w:r>
            <w:r>
              <w:rPr>
                <w:rFonts w:hint="eastAsia" w:eastAsia="仿宋" w:cs="仿宋"/>
                <w:kern w:val="2"/>
                <w:sz w:val="24"/>
                <w:szCs w:val="24"/>
                <w:highlight w:val="none"/>
                <w:lang w:val="en-US" w:eastAsia="zh-CN"/>
              </w:rPr>
              <w:t>-</w:t>
            </w:r>
            <w:r>
              <w:rPr>
                <w:rFonts w:hint="eastAsia" w:ascii="Times New Roman" w:hAnsi="Times New Roman" w:eastAsia="仿宋" w:cs="仿宋"/>
                <w:kern w:val="2"/>
                <w:sz w:val="24"/>
                <w:szCs w:val="24"/>
                <w:highlight w:val="none"/>
                <w:lang w:val="en-US" w:eastAsia="zh-CN"/>
              </w:rPr>
              <w:t>3</w:t>
            </w:r>
            <w:r>
              <w:rPr>
                <w:rFonts w:hint="eastAsia" w:ascii="仿宋" w:hAnsi="仿宋" w:eastAsia="仿宋" w:cs="仿宋"/>
                <w:kern w:val="2"/>
                <w:sz w:val="24"/>
                <w:szCs w:val="24"/>
                <w:highlight w:val="none"/>
                <w:lang w:eastAsia="zh-CN"/>
              </w:rPr>
              <w:t>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③对项目需求理解较浅，重点难点分析不准确，应对措施缺乏合理性，得</w:t>
            </w:r>
            <w:r>
              <w:rPr>
                <w:rFonts w:hint="eastAsia" w:ascii="Times New Roman" w:hAnsi="Times New Roman" w:eastAsia="仿宋" w:cs="仿宋"/>
                <w:kern w:val="2"/>
                <w:sz w:val="24"/>
                <w:szCs w:val="24"/>
                <w:highlight w:val="none"/>
                <w:lang w:val="en-US" w:eastAsia="zh-CN"/>
              </w:rPr>
              <w:t>1</w:t>
            </w:r>
            <w:r>
              <w:rPr>
                <w:rFonts w:hint="eastAsia" w:ascii="仿宋" w:hAnsi="仿宋" w:eastAsia="仿宋" w:cs="仿宋"/>
                <w:kern w:val="2"/>
                <w:sz w:val="24"/>
                <w:szCs w:val="24"/>
                <w:highlight w:val="none"/>
                <w:lang w:eastAsia="zh-CN"/>
              </w:rPr>
              <w:t>分；</w:t>
            </w:r>
          </w:p>
          <w:p>
            <w:pPr>
              <w:widowControl w:val="0"/>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④未提供不得分。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exac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val="en-US" w:eastAsia="zh-CN" w:bidi="ar-SA"/>
              </w:rPr>
            </w:pPr>
            <w:r>
              <w:rPr>
                <w:rFonts w:hint="eastAsia" w:ascii="Times New Roman" w:hAnsi="Times New Roman" w:eastAsia="仿宋" w:cs="仿宋"/>
                <w:kern w:val="2"/>
                <w:sz w:val="24"/>
                <w:szCs w:val="24"/>
                <w:highlight w:val="none"/>
                <w:lang w:val="en-US" w:eastAsia="zh-CN"/>
              </w:rPr>
              <w:t>6</w:t>
            </w:r>
          </w:p>
        </w:tc>
        <w:tc>
          <w:tcPr>
            <w:tcW w:w="1179" w:type="dxa"/>
            <w:vAlign w:val="center"/>
          </w:tcPr>
          <w:p>
            <w:pPr>
              <w:widowControl w:val="0"/>
              <w:snapToGrid w:val="0"/>
              <w:spacing w:after="0" w:line="240" w:lineRule="auto"/>
              <w:ind w:firstLine="0" w:firstLineChars="0"/>
              <w:jc w:val="center"/>
              <w:rPr>
                <w:rFonts w:ascii="仿宋" w:hAnsi="仿宋" w:eastAsia="仿宋" w:cs="仿宋"/>
                <w:kern w:val="0"/>
                <w:sz w:val="24"/>
                <w:szCs w:val="24"/>
                <w:highlight w:val="none"/>
                <w:lang w:eastAsia="zh-Hans"/>
              </w:rPr>
            </w:pPr>
            <w:r>
              <w:rPr>
                <w:rFonts w:hint="eastAsia" w:ascii="仿宋" w:hAnsi="仿宋" w:eastAsia="仿宋" w:cs="仿宋"/>
                <w:kern w:val="0"/>
                <w:sz w:val="24"/>
                <w:szCs w:val="24"/>
                <w:highlight w:val="none"/>
                <w:lang w:eastAsia="zh-Hans"/>
              </w:rPr>
              <w:t>总体</w:t>
            </w:r>
            <w:r>
              <w:rPr>
                <w:rFonts w:hint="eastAsia" w:ascii="仿宋" w:hAnsi="仿宋" w:eastAsia="仿宋" w:cs="仿宋"/>
                <w:kern w:val="0"/>
                <w:sz w:val="24"/>
                <w:szCs w:val="24"/>
                <w:highlight w:val="none"/>
                <w:lang w:eastAsia="zh-CN"/>
              </w:rPr>
              <w:t>实施</w:t>
            </w:r>
            <w:r>
              <w:rPr>
                <w:rFonts w:hint="eastAsia" w:ascii="仿宋" w:hAnsi="仿宋" w:eastAsia="仿宋" w:cs="仿宋"/>
                <w:kern w:val="0"/>
                <w:sz w:val="24"/>
                <w:szCs w:val="24"/>
                <w:highlight w:val="none"/>
                <w:lang w:eastAsia="zh-Hans"/>
              </w:rPr>
              <w:t>方案</w:t>
            </w:r>
          </w:p>
          <w:p>
            <w:pPr>
              <w:widowControl w:val="0"/>
              <w:snapToGrid w:val="0"/>
              <w:spacing w:after="0" w:line="240" w:lineRule="auto"/>
              <w:ind w:firstLine="0" w:firstLineChars="0"/>
              <w:jc w:val="center"/>
              <w:rPr>
                <w:rFonts w:ascii="仿宋" w:hAnsi="仿宋" w:eastAsia="仿宋" w:cs="仿宋"/>
                <w:kern w:val="0"/>
                <w:sz w:val="24"/>
                <w:szCs w:val="24"/>
                <w:highlight w:val="none"/>
                <w:lang w:eastAsia="zh-Hans"/>
              </w:rPr>
            </w:pPr>
            <w:r>
              <w:rPr>
                <w:rFonts w:hint="eastAsia" w:ascii="Times New Roman" w:hAnsi="Times New Roman" w:eastAsia="仿宋" w:cs="仿宋"/>
                <w:kern w:val="2"/>
                <w:sz w:val="24"/>
                <w:szCs w:val="24"/>
                <w:highlight w:val="none"/>
                <w:lang w:eastAsia="zh-CN"/>
              </w:rPr>
              <w:t>1</w:t>
            </w:r>
            <w:r>
              <w:rPr>
                <w:rFonts w:hint="eastAsia" w:ascii="Times New Roman" w:hAnsi="Times New Roman"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w:t>
            </w:r>
          </w:p>
        </w:tc>
        <w:tc>
          <w:tcPr>
            <w:tcW w:w="573" w:type="dxa"/>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r>
              <w:rPr>
                <w:rFonts w:hint="eastAsia" w:ascii="Times New Roman" w:hAnsi="Times New Roman" w:eastAsia="仿宋" w:cs="仿宋"/>
                <w:kern w:val="2"/>
                <w:sz w:val="24"/>
                <w:szCs w:val="24"/>
                <w:highlight w:val="none"/>
                <w:lang w:eastAsia="zh-CN"/>
              </w:rPr>
              <w:t>1</w:t>
            </w:r>
            <w:r>
              <w:rPr>
                <w:rFonts w:hint="eastAsia" w:ascii="Times New Roman" w:hAnsi="Times New Roman"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分</w:t>
            </w:r>
          </w:p>
        </w:tc>
        <w:tc>
          <w:tcPr>
            <w:tcW w:w="6512" w:type="dxa"/>
            <w:vAlign w:val="center"/>
          </w:tcPr>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对供应商提供的总体实施方案（包括但不限于工作思路、目标、范围、内容</w:t>
            </w:r>
            <w:r>
              <w:rPr>
                <w:rFonts w:hint="eastAsia" w:eastAsia="仿宋" w:cs="仿宋"/>
                <w:kern w:val="2"/>
                <w:sz w:val="24"/>
                <w:szCs w:val="24"/>
                <w:highlight w:val="none"/>
                <w:lang w:eastAsia="zh-CN"/>
              </w:rPr>
              <w:t>、质量保障措施</w:t>
            </w:r>
            <w:r>
              <w:rPr>
                <w:rFonts w:hint="eastAsia" w:ascii="仿宋" w:hAnsi="仿宋" w:eastAsia="仿宋" w:cs="仿宋"/>
                <w:kern w:val="2"/>
                <w:sz w:val="24"/>
                <w:szCs w:val="24"/>
                <w:highlight w:val="none"/>
                <w:lang w:eastAsia="zh-CN"/>
              </w:rPr>
              <w:t>等）进行评分：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①总体实施方案全面具体，工作思路、目标、范围、内容、质量保障措施等内容详细规范、有条理，可行性高，得</w:t>
            </w:r>
            <w:r>
              <w:rPr>
                <w:rFonts w:hint="eastAsia" w:ascii="Times New Roman" w:hAnsi="Times New Roman" w:eastAsia="仿宋" w:cs="仿宋"/>
                <w:kern w:val="2"/>
                <w:sz w:val="24"/>
                <w:szCs w:val="24"/>
                <w:highlight w:val="none"/>
                <w:lang w:eastAsia="zh-CN"/>
              </w:rPr>
              <w:t>1</w:t>
            </w:r>
            <w:r>
              <w:rPr>
                <w:rFonts w:hint="eastAsia" w:ascii="Times New Roman" w:hAnsi="Times New Roman" w:eastAsia="仿宋" w:cs="仿宋"/>
                <w:kern w:val="2"/>
                <w:sz w:val="24"/>
                <w:szCs w:val="24"/>
                <w:highlight w:val="none"/>
                <w:lang w:val="en-US" w:eastAsia="zh-CN"/>
              </w:rPr>
              <w:t>1</w:t>
            </w:r>
            <w:r>
              <w:rPr>
                <w:rFonts w:hint="eastAsia" w:eastAsia="仿宋" w:cs="仿宋"/>
                <w:kern w:val="2"/>
                <w:sz w:val="24"/>
                <w:szCs w:val="24"/>
                <w:highlight w:val="none"/>
                <w:lang w:val="en-US" w:eastAsia="zh-CN"/>
              </w:rPr>
              <w:t>-</w:t>
            </w:r>
            <w:r>
              <w:rPr>
                <w:rFonts w:hint="eastAsia" w:ascii="Times New Roman" w:hAnsi="Times New Roman" w:eastAsia="仿宋" w:cs="仿宋"/>
                <w:kern w:val="2"/>
                <w:sz w:val="24"/>
                <w:szCs w:val="24"/>
                <w:highlight w:val="none"/>
                <w:lang w:val="en-US" w:eastAsia="zh-CN"/>
              </w:rPr>
              <w:t>15</w:t>
            </w:r>
            <w:r>
              <w:rPr>
                <w:rFonts w:hint="eastAsia" w:ascii="仿宋" w:hAnsi="仿宋" w:eastAsia="仿宋" w:cs="仿宋"/>
                <w:kern w:val="2"/>
                <w:sz w:val="24"/>
                <w:szCs w:val="24"/>
                <w:highlight w:val="none"/>
                <w:lang w:eastAsia="zh-CN"/>
              </w:rPr>
              <w:t>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②总体实施方案基本全面，工作思路、目标、范围、内容、质量保障措施等内容基本规范，具备一定可行性，得</w:t>
            </w:r>
            <w:r>
              <w:rPr>
                <w:rFonts w:hint="eastAsia" w:ascii="Times New Roman" w:hAnsi="Times New Roman" w:eastAsia="仿宋" w:cs="仿宋"/>
                <w:kern w:val="2"/>
                <w:sz w:val="24"/>
                <w:szCs w:val="24"/>
                <w:highlight w:val="none"/>
                <w:lang w:val="en-US" w:eastAsia="zh-CN"/>
              </w:rPr>
              <w:t>5</w:t>
            </w:r>
            <w:r>
              <w:rPr>
                <w:rFonts w:hint="eastAsia" w:eastAsia="仿宋" w:cs="仿宋"/>
                <w:kern w:val="2"/>
                <w:sz w:val="24"/>
                <w:szCs w:val="24"/>
                <w:highlight w:val="none"/>
                <w:lang w:val="en-US" w:eastAsia="zh-CN"/>
              </w:rPr>
              <w:t>-</w:t>
            </w:r>
            <w:r>
              <w:rPr>
                <w:rFonts w:hint="eastAsia" w:ascii="Times New Roman" w:hAnsi="Times New Roman" w:eastAsia="仿宋" w:cs="仿宋"/>
                <w:kern w:val="2"/>
                <w:sz w:val="24"/>
                <w:szCs w:val="24"/>
                <w:highlight w:val="none"/>
                <w:lang w:val="en-US" w:eastAsia="zh-CN"/>
              </w:rPr>
              <w:t>10</w:t>
            </w:r>
            <w:r>
              <w:rPr>
                <w:rFonts w:hint="eastAsia" w:ascii="仿宋" w:hAnsi="仿宋" w:eastAsia="仿宋" w:cs="仿宋"/>
                <w:kern w:val="2"/>
                <w:sz w:val="24"/>
                <w:szCs w:val="24"/>
                <w:highlight w:val="none"/>
                <w:lang w:eastAsia="zh-CN"/>
              </w:rPr>
              <w:t>分；</w:t>
            </w:r>
          </w:p>
          <w:p>
            <w:pPr>
              <w:widowControl/>
              <w:snapToGrid w:val="0"/>
              <w:spacing w:after="0" w:line="240" w:lineRule="auto"/>
              <w:ind w:firstLine="0" w:firstLineChars="0"/>
              <w:jc w:val="left"/>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③总体实施方案有缺漏或缺乏合理性，得</w:t>
            </w:r>
            <w:r>
              <w:rPr>
                <w:rFonts w:hint="eastAsia" w:ascii="Times New Roman" w:hAnsi="Times New Roman" w:eastAsia="仿宋" w:cs="仿宋"/>
                <w:kern w:val="2"/>
                <w:sz w:val="24"/>
                <w:szCs w:val="24"/>
                <w:highlight w:val="none"/>
                <w:lang w:val="en-US" w:eastAsia="zh-CN"/>
              </w:rPr>
              <w:t>1</w:t>
            </w:r>
            <w:r>
              <w:rPr>
                <w:rFonts w:hint="eastAsia" w:eastAsia="仿宋" w:cs="仿宋"/>
                <w:kern w:val="2"/>
                <w:sz w:val="24"/>
                <w:szCs w:val="24"/>
                <w:highlight w:val="none"/>
                <w:lang w:val="en-US" w:eastAsia="zh-CN"/>
              </w:rPr>
              <w:t>-</w:t>
            </w:r>
            <w:r>
              <w:rPr>
                <w:rFonts w:hint="eastAsia" w:ascii="Times New Roman" w:hAnsi="Times New Roman" w:eastAsia="仿宋" w:cs="仿宋"/>
                <w:kern w:val="2"/>
                <w:sz w:val="24"/>
                <w:szCs w:val="24"/>
                <w:highlight w:val="none"/>
                <w:lang w:val="en-US" w:eastAsia="zh-CN"/>
              </w:rPr>
              <w:t>4</w:t>
            </w:r>
            <w:r>
              <w:rPr>
                <w:rFonts w:hint="eastAsia" w:ascii="仿宋" w:hAnsi="仿宋" w:eastAsia="仿宋" w:cs="仿宋"/>
                <w:kern w:val="2"/>
                <w:sz w:val="24"/>
                <w:szCs w:val="24"/>
                <w:highlight w:val="none"/>
                <w:lang w:eastAsia="zh-CN"/>
              </w:rPr>
              <w:t>分；</w:t>
            </w:r>
          </w:p>
          <w:p>
            <w:pPr>
              <w:widowControl w:val="0"/>
              <w:snapToGrid w:val="0"/>
              <w:spacing w:after="0" w:line="240" w:lineRule="auto"/>
              <w:ind w:firstLine="0" w:firstLineChars="0"/>
              <w:jc w:val="both"/>
              <w:rPr>
                <w:rFonts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④未提供不得分。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517" w:type="dxa"/>
            <w:shd w:val="clear" w:color="auto" w:fill="auto"/>
            <w:vAlign w:val="center"/>
          </w:tcPr>
          <w:p>
            <w:pPr>
              <w:widowControl w:val="0"/>
              <w:snapToGrid w:val="0"/>
              <w:spacing w:after="0" w:line="240" w:lineRule="auto"/>
              <w:ind w:firstLine="0" w:firstLineChars="0"/>
              <w:jc w:val="center"/>
              <w:rPr>
                <w:rFonts w:ascii="仿宋" w:hAnsi="仿宋" w:eastAsia="仿宋" w:cs="仿宋"/>
                <w:kern w:val="2"/>
                <w:sz w:val="24"/>
                <w:szCs w:val="24"/>
                <w:highlight w:val="none"/>
                <w:lang w:eastAsia="zh-CN"/>
              </w:rPr>
            </w:pPr>
          </w:p>
        </w:tc>
        <w:tc>
          <w:tcPr>
            <w:tcW w:w="1179" w:type="dxa"/>
            <w:vAlign w:val="center"/>
          </w:tcPr>
          <w:p>
            <w:pPr>
              <w:widowControl w:val="0"/>
              <w:snapToGrid w:val="0"/>
              <w:spacing w:after="0" w:line="240" w:lineRule="auto"/>
              <w:ind w:firstLine="0" w:firstLineChars="0"/>
              <w:jc w:val="center"/>
              <w:rPr>
                <w:rFonts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合计</w:t>
            </w:r>
          </w:p>
        </w:tc>
        <w:tc>
          <w:tcPr>
            <w:tcW w:w="7085" w:type="dxa"/>
            <w:gridSpan w:val="2"/>
            <w:vAlign w:val="center"/>
          </w:tcPr>
          <w:p>
            <w:pPr>
              <w:widowControl w:val="0"/>
              <w:snapToGrid w:val="0"/>
              <w:spacing w:after="0" w:line="240" w:lineRule="auto"/>
              <w:ind w:firstLine="0" w:firstLineChars="0"/>
              <w:jc w:val="both"/>
              <w:rPr>
                <w:rFonts w:ascii="仿宋" w:hAnsi="仿宋" w:eastAsia="仿宋" w:cs="仿宋"/>
                <w:b/>
                <w:bCs/>
                <w:kern w:val="2"/>
                <w:sz w:val="24"/>
                <w:szCs w:val="24"/>
                <w:highlight w:val="none"/>
                <w:lang w:eastAsia="zh-CN"/>
              </w:rPr>
            </w:pPr>
            <w:r>
              <w:rPr>
                <w:rFonts w:hint="eastAsia" w:ascii="Times New Roman" w:hAnsi="Times New Roman" w:eastAsia="仿宋" w:cs="仿宋"/>
                <w:b/>
                <w:bCs/>
                <w:kern w:val="2"/>
                <w:sz w:val="24"/>
                <w:szCs w:val="24"/>
                <w:highlight w:val="none"/>
                <w:lang w:eastAsia="zh-CN"/>
              </w:rPr>
              <w:t>100</w:t>
            </w:r>
            <w:r>
              <w:rPr>
                <w:rFonts w:hint="eastAsia" w:ascii="仿宋" w:hAnsi="仿宋" w:eastAsia="仿宋" w:cs="仿宋"/>
                <w:b/>
                <w:bCs/>
                <w:kern w:val="2"/>
                <w:sz w:val="24"/>
                <w:szCs w:val="24"/>
                <w:highlight w:val="none"/>
                <w:lang w:eastAsia="zh-CN"/>
              </w:rPr>
              <w:t>分</w:t>
            </w:r>
          </w:p>
        </w:tc>
      </w:tr>
    </w:tbl>
    <w:p>
      <w:pPr>
        <w:keepNext w:val="0"/>
        <w:keepLines w:val="0"/>
        <w:widowControl w:val="0"/>
        <w:suppressLineNumbers w:val="0"/>
        <w:spacing w:before="0" w:beforeAutospacing="0" w:after="0" w:afterAutospacing="0" w:line="360" w:lineRule="auto"/>
        <w:ind w:left="0" w:right="0" w:firstLine="316" w:firstLineChars="150"/>
        <w:jc w:val="both"/>
        <w:rPr>
          <w:rFonts w:hint="eastAsia" w:ascii="仿宋_GB2312" w:hAnsi="仿宋_GB2312" w:eastAsia="仿宋_GB2312" w:cs="仿宋_GB2312"/>
          <w:bCs/>
          <w:sz w:val="32"/>
          <w:szCs w:val="32"/>
          <w:highlight w:val="none"/>
          <w:lang w:eastAsia="zh-CN"/>
        </w:rPr>
      </w:pPr>
      <w:r>
        <w:rPr>
          <w:rFonts w:hint="default" w:ascii="仿宋" w:hAnsi="仿宋" w:eastAsia="仿宋" w:cs="仿宋"/>
          <w:b/>
          <w:bCs/>
          <w:kern w:val="2"/>
          <w:sz w:val="21"/>
          <w:szCs w:val="21"/>
          <w:highlight w:val="none"/>
          <w:lang w:val="en-US" w:eastAsia="zh-CN" w:bidi="ar"/>
        </w:rPr>
        <w:t>注：评分的取值按四舍五入法，保留小数点后两位。</w:t>
      </w:r>
    </w:p>
    <w:sectPr>
      <w:headerReference r:id="rId5" w:type="default"/>
      <w:footerReference r:id="rId6"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130810</wp:posOffset>
              </wp:positionV>
              <wp:extent cx="4743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43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3pt;height:144pt;width:37.35pt;mso-position-horizontal:outside;mso-position-horizontal-relative:margin;z-index:251659264;mso-width-relative:page;mso-height-relative:page;" filled="f" stroked="f" coordsize="21600,21600" o:gfxdata="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L3TvWAAAABgEAAA8AAAAAAAAAAQAgAAAAIgAAAGRycy9kb3ducmV2&#10;LnhtbFBLAQIUABQAAAAIAIdO4kA66IgANwIAAGIEAAAOAAAAAAAAAAEAIAAAACUBAABkcnMvZTJv&#10;RG9jLnhtbFBLBQYAAAAABgAGAFkBAADOBQAAAAA=&#10;">
              <v:fill on="f" focussize="0,0"/>
              <v:stroke on="f" weight="0.5pt"/>
              <v:imagedata o:title=""/>
              <o:lock v:ext="edit" aspectratio="f"/>
              <v:textbox inset="0mm,0mm,0mm,0mm" style="mso-fit-shape-to-text:t;">
                <w:txbxContent>
                  <w:p>
                    <w:pPr>
                      <w:pStyle w:val="7"/>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8323F"/>
    <w:multiLevelType w:val="singleLevel"/>
    <w:tmpl w:val="8CB8323F"/>
    <w:lvl w:ilvl="0" w:tentative="0">
      <w:start w:val="1"/>
      <w:numFmt w:val="chineseCounting"/>
      <w:pStyle w:val="2"/>
      <w:suff w:val="nothing"/>
      <w:lvlText w:val="%1、"/>
      <w:lvlJc w:val="left"/>
      <w:pPr>
        <w:ind w:left="0" w:firstLine="420"/>
      </w:pPr>
      <w:rPr>
        <w:rFonts w:hint="eastAsia"/>
      </w:rPr>
    </w:lvl>
  </w:abstractNum>
  <w:abstractNum w:abstractNumId="1">
    <w:nsid w:val="7AA5C6C0"/>
    <w:multiLevelType w:val="singleLevel"/>
    <w:tmpl w:val="7AA5C6C0"/>
    <w:lvl w:ilvl="0" w:tentative="0">
      <w:start w:val="1"/>
      <w:numFmt w:val="chineseCounting"/>
      <w:pStyle w:val="3"/>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41399"/>
    <w:rsid w:val="00000DC4"/>
    <w:rsid w:val="0022793C"/>
    <w:rsid w:val="002B7163"/>
    <w:rsid w:val="003046C1"/>
    <w:rsid w:val="00324B83"/>
    <w:rsid w:val="00336F7E"/>
    <w:rsid w:val="00597978"/>
    <w:rsid w:val="005D1403"/>
    <w:rsid w:val="00761669"/>
    <w:rsid w:val="00AE5C32"/>
    <w:rsid w:val="00CB59DB"/>
    <w:rsid w:val="00D70859"/>
    <w:rsid w:val="00D81AF4"/>
    <w:rsid w:val="00DF775F"/>
    <w:rsid w:val="00E727C7"/>
    <w:rsid w:val="00F26413"/>
    <w:rsid w:val="01345CD4"/>
    <w:rsid w:val="013706C3"/>
    <w:rsid w:val="01825941"/>
    <w:rsid w:val="018F529B"/>
    <w:rsid w:val="0231751C"/>
    <w:rsid w:val="023E4C44"/>
    <w:rsid w:val="028501D2"/>
    <w:rsid w:val="02CB414E"/>
    <w:rsid w:val="034D6C33"/>
    <w:rsid w:val="046C3048"/>
    <w:rsid w:val="05C10654"/>
    <w:rsid w:val="06C10F40"/>
    <w:rsid w:val="07A40762"/>
    <w:rsid w:val="085A1538"/>
    <w:rsid w:val="08CB5D9E"/>
    <w:rsid w:val="097C2DC7"/>
    <w:rsid w:val="0A1B64E4"/>
    <w:rsid w:val="0A3D4310"/>
    <w:rsid w:val="0A4026D3"/>
    <w:rsid w:val="0C296E6A"/>
    <w:rsid w:val="0D3D7C96"/>
    <w:rsid w:val="0E6B399C"/>
    <w:rsid w:val="0EA15299"/>
    <w:rsid w:val="0ED95C4B"/>
    <w:rsid w:val="0F503CB0"/>
    <w:rsid w:val="0FD215C9"/>
    <w:rsid w:val="0FD42B11"/>
    <w:rsid w:val="10A7267E"/>
    <w:rsid w:val="11080B3C"/>
    <w:rsid w:val="12791FB7"/>
    <w:rsid w:val="12A42F5F"/>
    <w:rsid w:val="12CD002E"/>
    <w:rsid w:val="135F88D1"/>
    <w:rsid w:val="138E4DA7"/>
    <w:rsid w:val="14263277"/>
    <w:rsid w:val="146D2CB1"/>
    <w:rsid w:val="1550600E"/>
    <w:rsid w:val="15F95B0B"/>
    <w:rsid w:val="161945AB"/>
    <w:rsid w:val="17AC52F8"/>
    <w:rsid w:val="19307951"/>
    <w:rsid w:val="193E05E4"/>
    <w:rsid w:val="19DA53E0"/>
    <w:rsid w:val="1B577A36"/>
    <w:rsid w:val="1C251279"/>
    <w:rsid w:val="1C4E34DE"/>
    <w:rsid w:val="1C884062"/>
    <w:rsid w:val="1C980270"/>
    <w:rsid w:val="1F3016C4"/>
    <w:rsid w:val="1F692B6D"/>
    <w:rsid w:val="1FEB106B"/>
    <w:rsid w:val="20185A79"/>
    <w:rsid w:val="20E519F9"/>
    <w:rsid w:val="21775ACE"/>
    <w:rsid w:val="22283378"/>
    <w:rsid w:val="23056903"/>
    <w:rsid w:val="25394681"/>
    <w:rsid w:val="26DA040D"/>
    <w:rsid w:val="26EB574D"/>
    <w:rsid w:val="27837FA0"/>
    <w:rsid w:val="27E27FBC"/>
    <w:rsid w:val="28B93C78"/>
    <w:rsid w:val="29341AF5"/>
    <w:rsid w:val="29CD32F7"/>
    <w:rsid w:val="2A26504A"/>
    <w:rsid w:val="2A374C8E"/>
    <w:rsid w:val="2A3D2195"/>
    <w:rsid w:val="2B653FF9"/>
    <w:rsid w:val="2BB87826"/>
    <w:rsid w:val="2C01320A"/>
    <w:rsid w:val="2C8719E7"/>
    <w:rsid w:val="2C9D0B2A"/>
    <w:rsid w:val="2D2C76B3"/>
    <w:rsid w:val="2D504DCD"/>
    <w:rsid w:val="2E9B3506"/>
    <w:rsid w:val="2EC96C8F"/>
    <w:rsid w:val="2F182010"/>
    <w:rsid w:val="304152BF"/>
    <w:rsid w:val="30F57101"/>
    <w:rsid w:val="325B0FA8"/>
    <w:rsid w:val="33064584"/>
    <w:rsid w:val="33331352"/>
    <w:rsid w:val="364F6841"/>
    <w:rsid w:val="36D333CE"/>
    <w:rsid w:val="3717FF2B"/>
    <w:rsid w:val="37FF4ADE"/>
    <w:rsid w:val="382D7222"/>
    <w:rsid w:val="3B9A0EF7"/>
    <w:rsid w:val="3CF66DB7"/>
    <w:rsid w:val="3CFF1C15"/>
    <w:rsid w:val="3D1F179D"/>
    <w:rsid w:val="3D2A5313"/>
    <w:rsid w:val="3D5C3A0F"/>
    <w:rsid w:val="3D7E783F"/>
    <w:rsid w:val="3E3E6768"/>
    <w:rsid w:val="3E402567"/>
    <w:rsid w:val="3FFBE6EF"/>
    <w:rsid w:val="407A6617"/>
    <w:rsid w:val="4081789B"/>
    <w:rsid w:val="41153C23"/>
    <w:rsid w:val="42056992"/>
    <w:rsid w:val="428615BB"/>
    <w:rsid w:val="42FD3996"/>
    <w:rsid w:val="438431E2"/>
    <w:rsid w:val="43AA6565"/>
    <w:rsid w:val="43EE526A"/>
    <w:rsid w:val="44F30565"/>
    <w:rsid w:val="45696E94"/>
    <w:rsid w:val="47000ABB"/>
    <w:rsid w:val="48611DEB"/>
    <w:rsid w:val="48F07466"/>
    <w:rsid w:val="4951218B"/>
    <w:rsid w:val="498016EA"/>
    <w:rsid w:val="4A762A79"/>
    <w:rsid w:val="4A935941"/>
    <w:rsid w:val="4A957400"/>
    <w:rsid w:val="4ABD410D"/>
    <w:rsid w:val="4B4A075F"/>
    <w:rsid w:val="4BD96917"/>
    <w:rsid w:val="4C362827"/>
    <w:rsid w:val="4CB32A7C"/>
    <w:rsid w:val="4D822084"/>
    <w:rsid w:val="4E691A72"/>
    <w:rsid w:val="4E7773B0"/>
    <w:rsid w:val="4FD5192E"/>
    <w:rsid w:val="501F487D"/>
    <w:rsid w:val="50BA3708"/>
    <w:rsid w:val="50BC1E5A"/>
    <w:rsid w:val="510850A0"/>
    <w:rsid w:val="51C30EFA"/>
    <w:rsid w:val="53334A48"/>
    <w:rsid w:val="53C25DCC"/>
    <w:rsid w:val="54404815"/>
    <w:rsid w:val="54660D84"/>
    <w:rsid w:val="54DE4E87"/>
    <w:rsid w:val="55942B63"/>
    <w:rsid w:val="559E1931"/>
    <w:rsid w:val="55AF412E"/>
    <w:rsid w:val="567C6706"/>
    <w:rsid w:val="56AA0DEE"/>
    <w:rsid w:val="56CF6046"/>
    <w:rsid w:val="5920142B"/>
    <w:rsid w:val="5BC70626"/>
    <w:rsid w:val="5C346880"/>
    <w:rsid w:val="5CF77F7E"/>
    <w:rsid w:val="5D7051BA"/>
    <w:rsid w:val="5F8748DA"/>
    <w:rsid w:val="605F0B60"/>
    <w:rsid w:val="61E2603A"/>
    <w:rsid w:val="61E979ED"/>
    <w:rsid w:val="620C6395"/>
    <w:rsid w:val="64053E27"/>
    <w:rsid w:val="6430119A"/>
    <w:rsid w:val="645E7A29"/>
    <w:rsid w:val="65FB688C"/>
    <w:rsid w:val="683F15D5"/>
    <w:rsid w:val="69B61200"/>
    <w:rsid w:val="6A8C3EF8"/>
    <w:rsid w:val="6B546A3D"/>
    <w:rsid w:val="6B987C24"/>
    <w:rsid w:val="6D2B1902"/>
    <w:rsid w:val="6F715B7E"/>
    <w:rsid w:val="6F9E2AEE"/>
    <w:rsid w:val="6FB34D10"/>
    <w:rsid w:val="6FD4092C"/>
    <w:rsid w:val="6FDF5A8B"/>
    <w:rsid w:val="6FEB3F8D"/>
    <w:rsid w:val="6FFFBFE8"/>
    <w:rsid w:val="70634799"/>
    <w:rsid w:val="717E737E"/>
    <w:rsid w:val="71B86BEA"/>
    <w:rsid w:val="71F46A22"/>
    <w:rsid w:val="72E10507"/>
    <w:rsid w:val="73DB78E0"/>
    <w:rsid w:val="73EF5DAE"/>
    <w:rsid w:val="74CB4AC5"/>
    <w:rsid w:val="74DD418E"/>
    <w:rsid w:val="75492B63"/>
    <w:rsid w:val="7625690A"/>
    <w:rsid w:val="773E7C43"/>
    <w:rsid w:val="77746D5F"/>
    <w:rsid w:val="78241399"/>
    <w:rsid w:val="784A0554"/>
    <w:rsid w:val="7A395308"/>
    <w:rsid w:val="7B320DE4"/>
    <w:rsid w:val="7B613C75"/>
    <w:rsid w:val="7BFC4536"/>
    <w:rsid w:val="7C305B87"/>
    <w:rsid w:val="7D494CE4"/>
    <w:rsid w:val="7D4F1BCF"/>
    <w:rsid w:val="7E6BC634"/>
    <w:rsid w:val="7EFF62CD"/>
    <w:rsid w:val="7FABF96F"/>
    <w:rsid w:val="BBFE3F7C"/>
    <w:rsid w:val="BD3F947B"/>
    <w:rsid w:val="BDDE0E2A"/>
    <w:rsid w:val="DF8FA9E1"/>
    <w:rsid w:val="E73D6A0F"/>
    <w:rsid w:val="E77A3CFE"/>
    <w:rsid w:val="FBFEFF81"/>
    <w:rsid w:val="FDBA264A"/>
    <w:rsid w:val="FDBE365D"/>
    <w:rsid w:val="FEDF5CF4"/>
    <w:rsid w:val="FF5A3D33"/>
    <w:rsid w:val="FF77B6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560" w:lineRule="exact"/>
      <w:ind w:firstLine="200" w:firstLineChars="200"/>
    </w:pPr>
    <w:rPr>
      <w:rFonts w:ascii="仿宋" w:hAnsi="仿宋" w:eastAsia="仿宋_GB2312" w:cs="仿宋"/>
      <w:sz w:val="32"/>
      <w:szCs w:val="32"/>
      <w:lang w:val="en-US" w:eastAsia="en-US" w:bidi="ar-SA"/>
    </w:rPr>
  </w:style>
  <w:style w:type="paragraph" w:styleId="2">
    <w:name w:val="heading 1"/>
    <w:basedOn w:val="1"/>
    <w:next w:val="1"/>
    <w:qFormat/>
    <w:uiPriority w:val="0"/>
    <w:pPr>
      <w:keepNext/>
      <w:keepLines/>
      <w:numPr>
        <w:ilvl w:val="0"/>
        <w:numId w:val="1"/>
      </w:numPr>
      <w:spacing w:after="0"/>
      <w:outlineLvl w:val="0"/>
    </w:pPr>
    <w:rPr>
      <w:rFonts w:eastAsia="黑体"/>
      <w:b/>
      <w:kern w:val="44"/>
    </w:rPr>
  </w:style>
  <w:style w:type="paragraph" w:styleId="3">
    <w:name w:val="heading 2"/>
    <w:basedOn w:val="1"/>
    <w:next w:val="1"/>
    <w:link w:val="15"/>
    <w:unhideWhenUsed/>
    <w:qFormat/>
    <w:uiPriority w:val="9"/>
    <w:pPr>
      <w:numPr>
        <w:ilvl w:val="0"/>
        <w:numId w:val="2"/>
      </w:numPr>
      <w:spacing w:after="0"/>
      <w:contextualSpacing/>
      <w:outlineLvl w:val="1"/>
    </w:pPr>
    <w:rPr>
      <w:rFonts w:eastAsia="楷体" w:asciiTheme="minorHAnsi" w:hAnsiTheme="minorHAnsi" w:cstheme="minorBidi"/>
      <w:color w:val="000000" w:themeColor="text1"/>
      <w:szCs w:val="26"/>
      <w:lang w:val="en-GB" w:eastAsia="zh-CN"/>
      <w14:textFill>
        <w14:solidFill>
          <w14:schemeClr w14:val="tx1"/>
        </w14:solidFill>
      </w14:textFill>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style>
  <w:style w:type="paragraph" w:styleId="5">
    <w:name w:val="Body Text"/>
    <w:basedOn w:val="1"/>
    <w:unhideWhenUsed/>
    <w:qFormat/>
    <w:uiPriority w:val="99"/>
    <w:pPr>
      <w:spacing w:after="120" w:line="276" w:lineRule="auto"/>
    </w:pPr>
    <w:rPr>
      <w:rFonts w:ascii="Calibri" w:hAnsi="Calibri" w:eastAsia="宋体" w:cs="Times New Roman"/>
      <w:sz w:val="22"/>
    </w:rPr>
  </w:style>
  <w:style w:type="paragraph" w:styleId="6">
    <w:name w:val="Balloon Text"/>
    <w:basedOn w:val="1"/>
    <w:link w:val="18"/>
    <w:qFormat/>
    <w:uiPriority w:val="0"/>
    <w:pPr>
      <w:spacing w:after="0" w:line="240" w:lineRule="auto"/>
    </w:pPr>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annotation subject"/>
    <w:basedOn w:val="4"/>
    <w:next w:val="4"/>
    <w:link w:val="17"/>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Index1"/>
    <w:basedOn w:val="1"/>
    <w:next w:val="1"/>
    <w:qFormat/>
    <w:uiPriority w:val="0"/>
    <w:pPr>
      <w:suppressAutoHyphens/>
      <w:textAlignment w:val="baseline"/>
    </w:pPr>
    <w:rPr>
      <w:color w:val="000000"/>
      <w:szCs w:val="20"/>
    </w:rPr>
  </w:style>
  <w:style w:type="character" w:customStyle="1" w:styleId="15">
    <w:name w:val="标题 2 字符"/>
    <w:link w:val="3"/>
    <w:qFormat/>
    <w:uiPriority w:val="9"/>
    <w:rPr>
      <w:rFonts w:eastAsia="楷体" w:asciiTheme="minorHAnsi" w:hAnsiTheme="minorHAnsi" w:cstheme="minorBidi"/>
      <w:color w:val="000000" w:themeColor="text1"/>
      <w:szCs w:val="26"/>
      <w:lang w:val="en-GB" w:eastAsia="zh-CN"/>
      <w14:textFill>
        <w14:solidFill>
          <w14:schemeClr w14:val="tx1"/>
        </w14:solidFill>
      </w14:textFill>
    </w:rPr>
  </w:style>
  <w:style w:type="character" w:customStyle="1" w:styleId="16">
    <w:name w:val="批注文字 字符"/>
    <w:basedOn w:val="11"/>
    <w:link w:val="4"/>
    <w:qFormat/>
    <w:uiPriority w:val="0"/>
    <w:rPr>
      <w:rFonts w:ascii="仿宋" w:hAnsi="仿宋" w:eastAsia="仿宋_GB2312" w:cs="仿宋"/>
      <w:sz w:val="32"/>
      <w:szCs w:val="32"/>
      <w:lang w:eastAsia="en-US"/>
    </w:rPr>
  </w:style>
  <w:style w:type="character" w:customStyle="1" w:styleId="17">
    <w:name w:val="批注主题 字符"/>
    <w:basedOn w:val="16"/>
    <w:link w:val="9"/>
    <w:qFormat/>
    <w:uiPriority w:val="0"/>
    <w:rPr>
      <w:rFonts w:ascii="仿宋" w:hAnsi="仿宋" w:eastAsia="仿宋_GB2312" w:cs="仿宋"/>
      <w:b/>
      <w:bCs/>
      <w:sz w:val="32"/>
      <w:szCs w:val="32"/>
      <w:lang w:eastAsia="en-US"/>
    </w:rPr>
  </w:style>
  <w:style w:type="character" w:customStyle="1" w:styleId="18">
    <w:name w:val="批注框文本 字符"/>
    <w:basedOn w:val="11"/>
    <w:link w:val="6"/>
    <w:qFormat/>
    <w:uiPriority w:val="0"/>
    <w:rPr>
      <w:rFonts w:ascii="仿宋" w:hAnsi="仿宋" w:eastAsia="仿宋_GB2312" w:cs="仿宋"/>
      <w:sz w:val="18"/>
      <w:szCs w:val="18"/>
      <w:lang w:eastAsia="en-US"/>
    </w:rPr>
  </w:style>
  <w:style w:type="character" w:customStyle="1" w:styleId="19">
    <w:name w:val="font31"/>
    <w:basedOn w:val="11"/>
    <w:qFormat/>
    <w:uiPriority w:val="0"/>
    <w:rPr>
      <w:rFonts w:hint="eastAsia" w:ascii="宋体" w:hAnsi="宋体" w:eastAsia="宋体" w:cs="宋体"/>
      <w:color w:val="000000"/>
      <w:sz w:val="20"/>
      <w:szCs w:val="20"/>
      <w:u w:val="none"/>
    </w:rPr>
  </w:style>
  <w:style w:type="table" w:customStyle="1" w:styleId="20">
    <w:name w:val="Table Normal"/>
    <w:basedOn w:val="1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6012</Words>
  <Characters>6176</Characters>
  <Lines>1</Lines>
  <Paragraphs>1</Paragraphs>
  <TotalTime>65</TotalTime>
  <ScaleCrop>false</ScaleCrop>
  <LinksUpToDate>false</LinksUpToDate>
  <CharactersWithSpaces>6182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2025-05-28T01:13:00Z</dcterms:created>
  <dc:creator>ThinkPad</dc:creator>
  <cp:lastModifiedBy>张宛琪</cp:lastModifiedBy>
  <cp:lastPrinted>2025-06-25T07:19:00Z</cp:lastPrinted>
  <dcterms:modified xsi:type="dcterms:W3CDTF">2025-12-03T08:24:02Z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222BF29D229E48BB9EC8A5178BD96832</vt:lpwstr>
  </property>
  <property fmtid="{D5CDD505-2E9C-101B-9397-08002B2CF9AE}" pid="4" name="KSOTemplateDocerSaveRecord">
    <vt:lpwstr>eyJoZGlkIjoiNGFhMTBkZGUxYTg4OTIyZjc1N2RlYTY2ODc2YTdhOGYiLCJ1c2VySWQiOiI0NjA5MDE4MzAifQ==</vt:lpwstr>
  </property>
</Properties>
</file>