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before="0" w:beforeLines="0" w:after="0" w:afterLines="0" w:line="578" w:lineRule="exact"/>
        <w:ind w:firstLine="0" w:firstLineChars="0"/>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海南金财网络技术有限公司</w:t>
      </w:r>
    </w:p>
    <w:p>
      <w:pPr>
        <w:widowControl w:val="0"/>
        <w:adjustRightInd w:val="0"/>
        <w:snapToGrid w:val="0"/>
        <w:spacing w:before="0" w:beforeLines="0" w:after="0" w:afterLines="0" w:line="578" w:lineRule="exact"/>
        <w:ind w:firstLine="0" w:firstLineChars="0"/>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软件服务供应商入库公告</w:t>
      </w:r>
    </w:p>
    <w:p>
      <w:pPr>
        <w:widowControl w:val="0"/>
        <w:adjustRightInd w:val="0"/>
        <w:snapToGrid w:val="0"/>
        <w:spacing w:before="0" w:beforeLines="0" w:after="0" w:afterLines="0" w:line="578" w:lineRule="exact"/>
        <w:ind w:firstLine="0" w:firstLineChars="0"/>
        <w:jc w:val="center"/>
        <w:rPr>
          <w:rFonts w:ascii="方正小标宋简体" w:hAnsi="方正小标宋简体" w:eastAsia="方正小标宋简体" w:cs="方正小标宋简体"/>
          <w:sz w:val="44"/>
          <w:szCs w:val="44"/>
          <w:highlight w:val="none"/>
          <w:lang w:eastAsia="zh-CN"/>
        </w:rPr>
      </w:pPr>
    </w:p>
    <w:p>
      <w:pPr>
        <w:widowControl w:val="0"/>
        <w:tabs>
          <w:tab w:val="left" w:pos="142"/>
        </w:tabs>
        <w:ind w:firstLine="0"/>
        <w:jc w:val="both"/>
        <w:rPr>
          <w:rFonts w:hint="eastAsia" w:eastAsia="仿宋_GB2312"/>
          <w:highlight w:val="none"/>
          <w:lang w:eastAsia="zh-CN" w:bidi="ar-SA"/>
        </w:rPr>
      </w:pPr>
      <w:r>
        <w:rPr>
          <w:rFonts w:hint="eastAsia" w:eastAsia="仿宋_GB2312"/>
          <w:highlight w:val="none"/>
          <w:lang w:eastAsia="zh-CN"/>
        </w:rPr>
        <w:t>海南金财网络技术有限公司（以下简称“金财公司”）是海南省财金集团有限公司下属的国有独资企业，专注于财政信息化系统建设，业务覆盖海南、四川、重庆、大连、西藏、北京等地。随着预算管理一体化系统的业务不断扩展，为进一步提升公司在预算管理一体化系统实施过程中的服务保障能力，有效应对多地业务并行带来的资源压力，确保各区域项目顺利推进，拟建立产品服务供应商库与运维服务供应商库，现面向社会公开选择入库供应商。</w:t>
      </w:r>
    </w:p>
    <w:p>
      <w:pPr>
        <w:pStyle w:val="3"/>
        <w:spacing w:beforeLines="0" w:after="0" w:afterLines="0" w:line="578" w:lineRule="exact"/>
        <w:ind w:firstLine="0" w:firstLineChars="0"/>
        <w:jc w:val="center"/>
        <w:rPr>
          <w:rFonts w:ascii="黑体" w:hAnsi="黑体" w:eastAsia="黑体"/>
          <w:b w:val="0"/>
          <w:bCs w:val="0"/>
          <w:sz w:val="32"/>
          <w:szCs w:val="32"/>
          <w:highlight w:val="none"/>
        </w:rPr>
      </w:pPr>
      <w:r>
        <w:rPr>
          <w:rFonts w:hint="eastAsia" w:ascii="黑体" w:hAnsi="黑体" w:eastAsia="黑体"/>
          <w:b w:val="0"/>
          <w:bCs w:val="0"/>
          <w:sz w:val="32"/>
          <w:szCs w:val="32"/>
          <w:highlight w:val="none"/>
        </w:rPr>
        <w:t>第一章 情况说明</w:t>
      </w:r>
    </w:p>
    <w:p>
      <w:pPr>
        <w:pStyle w:val="2"/>
        <w:numPr>
          <w:ilvl w:val="-1"/>
          <w:numId w:val="0"/>
        </w:numPr>
        <w:spacing w:before="0" w:beforeLines="0" w:after="0" w:afterLines="0" w:line="578" w:lineRule="exact"/>
        <w:ind w:left="640" w:leftChars="200" w:firstLine="0" w:firstLineChars="0"/>
        <w:jc w:val="both"/>
        <w:rPr>
          <w:rFonts w:hint="eastAsia"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一、</w:t>
      </w:r>
      <w:r>
        <w:rPr>
          <w:rFonts w:hint="eastAsia" w:ascii="黑体" w:hAnsi="黑体" w:eastAsia="黑体"/>
          <w:b w:val="0"/>
          <w:bCs/>
          <w:color w:val="auto"/>
          <w:sz w:val="32"/>
          <w:szCs w:val="32"/>
          <w:highlight w:val="none"/>
        </w:rPr>
        <w:t>项目概况</w:t>
      </w:r>
    </w:p>
    <w:p>
      <w:pPr>
        <w:widowControl w:val="0"/>
        <w:tabs>
          <w:tab w:val="left" w:pos="142"/>
        </w:tabs>
        <w:spacing w:beforeLines="0" w:after="0" w:afterLines="0" w:line="578" w:lineRule="exact"/>
        <w:ind w:firstLine="0"/>
        <w:jc w:val="both"/>
        <w:rPr>
          <w:rFonts w:ascii="楷体" w:hAnsi="楷体" w:eastAsia="楷体" w:cs="楷体"/>
          <w:b w:val="0"/>
          <w:bCs w:val="0"/>
          <w:highlight w:val="none"/>
          <w:lang w:eastAsia="zh-CN"/>
        </w:rPr>
      </w:pPr>
      <w:r>
        <w:rPr>
          <w:rFonts w:hint="eastAsia" w:ascii="楷体" w:hAnsi="楷体" w:eastAsia="楷体" w:cs="楷体"/>
          <w:b w:val="0"/>
          <w:bCs w:val="0"/>
          <w:highlight w:val="none"/>
          <w:lang w:eastAsia="zh-CN"/>
        </w:rPr>
        <w:t>（一）项目名称</w:t>
      </w:r>
    </w:p>
    <w:p>
      <w:pPr>
        <w:widowControl w:val="0"/>
        <w:tabs>
          <w:tab w:val="left" w:pos="142"/>
        </w:tabs>
        <w:spacing w:beforeLines="0" w:after="0" w:afterLines="0" w:line="578" w:lineRule="exact"/>
        <w:ind w:firstLine="0"/>
        <w:jc w:val="both"/>
        <w:rPr>
          <w:rFonts w:eastAsia="仿宋_GB2312"/>
          <w:highlight w:val="none"/>
          <w:lang w:eastAsia="zh-CN"/>
        </w:rPr>
      </w:pPr>
      <w:r>
        <w:rPr>
          <w:rFonts w:hint="eastAsia" w:eastAsia="仿宋_GB2312"/>
          <w:highlight w:val="none"/>
          <w:lang w:eastAsia="zh-CN"/>
        </w:rPr>
        <w:t>海南金财网络技术有限公司</w:t>
      </w:r>
      <w:r>
        <w:rPr>
          <w:rFonts w:eastAsia="仿宋_GB2312"/>
          <w:highlight w:val="none"/>
          <w:lang w:eastAsia="zh-CN"/>
        </w:rPr>
        <w:t>软件服务</w:t>
      </w:r>
      <w:r>
        <w:rPr>
          <w:rFonts w:hint="eastAsia" w:eastAsia="仿宋_GB2312"/>
          <w:highlight w:val="none"/>
          <w:lang w:eastAsia="zh-CN"/>
        </w:rPr>
        <w:t>供应商备选库入库。</w:t>
      </w:r>
    </w:p>
    <w:p>
      <w:pPr>
        <w:widowControl w:val="0"/>
        <w:tabs>
          <w:tab w:val="left" w:pos="142"/>
        </w:tabs>
        <w:spacing w:beforeLines="0" w:after="0" w:afterLines="0" w:line="578" w:lineRule="exact"/>
        <w:ind w:firstLine="0"/>
        <w:jc w:val="both"/>
        <w:rPr>
          <w:rFonts w:ascii="楷体" w:hAnsi="楷体" w:eastAsia="楷体" w:cs="楷体"/>
          <w:b w:val="0"/>
          <w:bCs w:val="0"/>
          <w:highlight w:val="none"/>
          <w:lang w:eastAsia="zh-CN"/>
        </w:rPr>
      </w:pPr>
      <w:r>
        <w:rPr>
          <w:rFonts w:hint="eastAsia" w:ascii="楷体" w:hAnsi="楷体" w:eastAsia="楷体" w:cs="楷体"/>
          <w:b w:val="0"/>
          <w:bCs w:val="0"/>
          <w:highlight w:val="none"/>
          <w:lang w:eastAsia="zh-CN"/>
        </w:rPr>
        <w:t>（二）备选库类别</w:t>
      </w:r>
    </w:p>
    <w:p>
      <w:pPr>
        <w:widowControl w:val="0"/>
        <w:tabs>
          <w:tab w:val="left" w:pos="142"/>
        </w:tabs>
        <w:spacing w:beforeLines="0" w:after="0" w:afterLines="0" w:line="578" w:lineRule="exact"/>
        <w:ind w:firstLine="0"/>
        <w:jc w:val="both"/>
        <w:rPr>
          <w:rFonts w:hint="eastAsia" w:eastAsia="仿宋_GB2312"/>
          <w:highlight w:val="none"/>
          <w:lang w:eastAsia="zh-CN"/>
        </w:rPr>
      </w:pPr>
      <w:r>
        <w:rPr>
          <w:rFonts w:hint="eastAsia" w:eastAsia="仿宋_GB2312"/>
          <w:highlight w:val="none"/>
          <w:lang w:eastAsia="zh-CN"/>
        </w:rPr>
        <w:t>本次申报类别共两组，分别为产品服务供应商库、运维服务供应商库。</w:t>
      </w:r>
    </w:p>
    <w:p>
      <w:pPr>
        <w:pStyle w:val="2"/>
        <w:numPr>
          <w:ilvl w:val="-1"/>
          <w:numId w:val="0"/>
        </w:numPr>
        <w:spacing w:before="0" w:beforeLines="0" w:after="0" w:afterLines="0" w:line="578" w:lineRule="exact"/>
        <w:ind w:left="640" w:leftChars="200" w:firstLine="0" w:firstLineChars="0"/>
        <w:jc w:val="both"/>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二、</w:t>
      </w:r>
      <w:r>
        <w:rPr>
          <w:rFonts w:hint="eastAsia" w:ascii="黑体" w:hAnsi="黑体" w:eastAsia="黑体"/>
          <w:b w:val="0"/>
          <w:bCs/>
          <w:color w:val="auto"/>
          <w:sz w:val="32"/>
          <w:szCs w:val="32"/>
          <w:highlight w:val="none"/>
        </w:rPr>
        <w:t>申报要求</w:t>
      </w:r>
    </w:p>
    <w:p>
      <w:pPr>
        <w:widowControl w:val="0"/>
        <w:tabs>
          <w:tab w:val="left" w:pos="142"/>
        </w:tabs>
        <w:spacing w:beforeLines="0" w:after="0" w:afterLines="0" w:line="578" w:lineRule="exact"/>
        <w:ind w:firstLine="0"/>
        <w:jc w:val="both"/>
        <w:rPr>
          <w:rFonts w:hint="eastAsia" w:eastAsia="仿宋_GB2312"/>
          <w:color w:val="auto"/>
          <w:highlight w:val="none"/>
          <w:lang w:eastAsia="zh-CN"/>
        </w:rPr>
      </w:pPr>
      <w:r>
        <w:rPr>
          <w:rFonts w:hint="eastAsia" w:eastAsia="仿宋_GB2312"/>
          <w:color w:val="auto"/>
          <w:highlight w:val="none"/>
          <w:lang w:eastAsia="zh-CN"/>
        </w:rPr>
        <w:t>（</w:t>
      </w:r>
      <w:r>
        <w:rPr>
          <w:rFonts w:hint="eastAsia" w:eastAsia="仿宋_GB2312"/>
          <w:color w:val="auto"/>
          <w:highlight w:val="none"/>
          <w:lang w:val="en-US" w:eastAsia="zh-CN"/>
        </w:rPr>
        <w:t>一</w:t>
      </w:r>
      <w:r>
        <w:rPr>
          <w:rFonts w:hint="eastAsia" w:eastAsia="仿宋_GB2312"/>
          <w:color w:val="auto"/>
          <w:highlight w:val="none"/>
          <w:lang w:eastAsia="zh-CN"/>
        </w:rPr>
        <w:t>）承诺遵守金财公司</w:t>
      </w:r>
      <w:r>
        <w:rPr>
          <w:rFonts w:hint="eastAsia" w:eastAsia="仿宋_GB2312"/>
          <w:color w:val="auto"/>
          <w:highlight w:val="none"/>
          <w:lang w:val="en-US" w:eastAsia="zh-CN"/>
        </w:rPr>
        <w:t>供应商管理</w:t>
      </w:r>
      <w:r>
        <w:rPr>
          <w:rFonts w:hint="eastAsia" w:eastAsia="仿宋_GB2312"/>
          <w:color w:val="auto"/>
          <w:highlight w:val="none"/>
          <w:lang w:eastAsia="zh-CN"/>
        </w:rPr>
        <w:t>制度，接受动态考核与监督管理；</w:t>
      </w:r>
    </w:p>
    <w:p>
      <w:pPr>
        <w:widowControl w:val="0"/>
        <w:tabs>
          <w:tab w:val="left" w:pos="142"/>
        </w:tabs>
        <w:spacing w:beforeLines="0" w:after="0" w:afterLines="0" w:line="578" w:lineRule="exact"/>
        <w:ind w:firstLine="0"/>
        <w:jc w:val="both"/>
        <w:rPr>
          <w:rFonts w:hint="eastAsia" w:eastAsia="仿宋_GB2312"/>
          <w:color w:val="auto"/>
          <w:highlight w:val="none"/>
          <w:lang w:eastAsia="zh-CN"/>
        </w:rPr>
      </w:pPr>
      <w:r>
        <w:rPr>
          <w:rFonts w:hint="eastAsia" w:eastAsia="仿宋_GB2312"/>
          <w:color w:val="auto"/>
          <w:highlight w:val="none"/>
          <w:lang w:eastAsia="zh-CN"/>
        </w:rPr>
        <w:t>（</w:t>
      </w:r>
      <w:r>
        <w:rPr>
          <w:rFonts w:hint="eastAsia" w:eastAsia="仿宋_GB2312"/>
          <w:color w:val="auto"/>
          <w:highlight w:val="none"/>
          <w:lang w:val="en-US" w:eastAsia="zh-CN"/>
        </w:rPr>
        <w:t>二</w:t>
      </w:r>
      <w:r>
        <w:rPr>
          <w:rFonts w:hint="eastAsia" w:eastAsia="仿宋_GB2312"/>
          <w:color w:val="auto"/>
          <w:highlight w:val="none"/>
          <w:lang w:eastAsia="zh-CN"/>
        </w:rPr>
        <w:t>）针对申报类别，提供真实、完整的资</w:t>
      </w:r>
      <w:r>
        <w:rPr>
          <w:rFonts w:hint="eastAsia" w:eastAsia="仿宋_GB2312"/>
          <w:color w:val="auto"/>
          <w:highlight w:val="none"/>
          <w:lang w:val="en-US" w:eastAsia="zh-CN"/>
        </w:rPr>
        <w:t>格</w:t>
      </w:r>
      <w:r>
        <w:rPr>
          <w:rFonts w:hint="eastAsia" w:eastAsia="仿宋_GB2312"/>
          <w:color w:val="auto"/>
          <w:highlight w:val="none"/>
          <w:lang w:eastAsia="zh-CN"/>
        </w:rPr>
        <w:t>证明、业绩材料，不得存在弄虚作假、隐瞒关键信息等行为。</w:t>
      </w:r>
    </w:p>
    <w:p>
      <w:pPr>
        <w:widowControl w:val="0"/>
        <w:tabs>
          <w:tab w:val="left" w:pos="142"/>
        </w:tabs>
        <w:spacing w:beforeLines="0" w:after="0" w:afterLines="0" w:line="578" w:lineRule="exact"/>
        <w:ind w:firstLine="0"/>
        <w:jc w:val="both"/>
        <w:rPr>
          <w:rFonts w:hint="default" w:eastAsia="仿宋_GB2312"/>
          <w:color w:val="auto"/>
          <w:highlight w:val="none"/>
          <w:lang w:val="en-US" w:eastAsia="zh-CN"/>
        </w:rPr>
      </w:pPr>
      <w:r>
        <w:rPr>
          <w:rFonts w:hint="eastAsia" w:eastAsia="仿宋_GB2312"/>
          <w:color w:val="auto"/>
          <w:highlight w:val="none"/>
          <w:lang w:eastAsia="zh-CN"/>
        </w:rPr>
        <w:t>（</w:t>
      </w:r>
      <w:r>
        <w:rPr>
          <w:rFonts w:hint="eastAsia" w:eastAsia="仿宋_GB2312"/>
          <w:color w:val="auto"/>
          <w:highlight w:val="none"/>
          <w:lang w:val="en-US" w:eastAsia="zh-CN"/>
        </w:rPr>
        <w:t>三</w:t>
      </w:r>
      <w:r>
        <w:rPr>
          <w:rFonts w:hint="eastAsia" w:eastAsia="仿宋_GB2312"/>
          <w:color w:val="auto"/>
          <w:highlight w:val="none"/>
          <w:lang w:eastAsia="zh-CN"/>
        </w:rPr>
        <w:t>）</w:t>
      </w:r>
      <w:r>
        <w:rPr>
          <w:rFonts w:hint="eastAsia" w:eastAsia="仿宋_GB2312"/>
          <w:color w:val="auto"/>
          <w:highlight w:val="none"/>
          <w:lang w:val="en-US" w:eastAsia="zh-CN"/>
        </w:rPr>
        <w:t>入库后，不得将入库资格转让给其他供应商。</w:t>
      </w:r>
    </w:p>
    <w:p>
      <w:pPr>
        <w:pStyle w:val="2"/>
        <w:numPr>
          <w:ilvl w:val="-1"/>
          <w:numId w:val="0"/>
        </w:numPr>
        <w:spacing w:before="0" w:beforeLines="0" w:after="0" w:afterLines="0" w:line="578" w:lineRule="exact"/>
        <w:ind w:left="640" w:leftChars="200" w:firstLine="0" w:firstLineChars="0"/>
        <w:jc w:val="both"/>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三、</w:t>
      </w:r>
      <w:r>
        <w:rPr>
          <w:rFonts w:hint="eastAsia" w:ascii="黑体" w:hAnsi="黑体" w:eastAsia="黑体"/>
          <w:b w:val="0"/>
          <w:bCs/>
          <w:color w:val="auto"/>
          <w:sz w:val="32"/>
          <w:szCs w:val="32"/>
          <w:highlight w:val="none"/>
        </w:rPr>
        <w:t>服务要求</w:t>
      </w:r>
    </w:p>
    <w:p>
      <w:pPr>
        <w:widowControl w:val="0"/>
        <w:tabs>
          <w:tab w:val="left" w:pos="142"/>
        </w:tabs>
        <w:spacing w:beforeLines="0" w:after="0" w:afterLines="0" w:line="578" w:lineRule="exact"/>
        <w:ind w:firstLine="0"/>
        <w:jc w:val="both"/>
        <w:rPr>
          <w:rFonts w:hint="eastAsia" w:eastAsia="仿宋_GB2312"/>
          <w:highlight w:val="none"/>
          <w:lang w:eastAsia="zh-CN"/>
        </w:rPr>
      </w:pPr>
      <w:r>
        <w:rPr>
          <w:rFonts w:hint="eastAsia" w:eastAsia="仿宋_GB2312"/>
          <w:highlight w:val="none"/>
          <w:lang w:eastAsia="zh-CN"/>
        </w:rPr>
        <w:t>申请入库的供应商（以下简称申请人）</w:t>
      </w:r>
      <w:r>
        <w:rPr>
          <w:rFonts w:hint="eastAsia" w:eastAsia="仿宋_GB2312"/>
          <w:highlight w:val="none"/>
          <w:lang w:val="en-US" w:eastAsia="zh-CN"/>
        </w:rPr>
        <w:t>需满足</w:t>
      </w:r>
      <w:r>
        <w:rPr>
          <w:rFonts w:hint="eastAsia" w:eastAsia="仿宋_GB2312"/>
          <w:highlight w:val="none"/>
          <w:lang w:eastAsia="zh-CN"/>
        </w:rPr>
        <w:t>以下服务要求：</w:t>
      </w:r>
    </w:p>
    <w:p>
      <w:pPr>
        <w:widowControl w:val="0"/>
        <w:tabs>
          <w:tab w:val="left" w:pos="142"/>
        </w:tabs>
        <w:spacing w:beforeLines="0" w:after="0" w:afterLines="0" w:line="578" w:lineRule="exact"/>
        <w:ind w:firstLine="0"/>
        <w:jc w:val="both"/>
        <w:rPr>
          <w:rFonts w:hint="default"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（一）产品</w:t>
      </w:r>
      <w:r>
        <w:rPr>
          <w:rFonts w:hint="default" w:ascii="楷体" w:hAnsi="楷体" w:eastAsia="楷体" w:cs="楷体"/>
          <w:b w:val="0"/>
          <w:bCs w:val="0"/>
          <w:highlight w:val="none"/>
          <w:lang w:val="en-US" w:eastAsia="zh-CN"/>
        </w:rPr>
        <w:t>服务供应商</w:t>
      </w:r>
    </w:p>
    <w:p>
      <w:pPr>
        <w:numPr>
          <w:ilvl w:val="-1"/>
          <w:numId w:val="0"/>
        </w:numPr>
        <w:spacing w:beforeLines="0" w:after="0" w:afterLines="0" w:line="578" w:lineRule="exact"/>
        <w:ind w:left="0" w:leftChars="0"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系统开发专长：拥有成熟的一体化系统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产品</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开发案例，熟悉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在产品</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的应用场景，具备根据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公司</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需求定制开发的能力。</w:t>
      </w:r>
    </w:p>
    <w:p>
      <w:pPr>
        <w:numPr>
          <w:ilvl w:val="-1"/>
          <w:numId w:val="0"/>
        </w:numPr>
        <w:spacing w:beforeLines="0" w:after="0" w:afterLines="0" w:line="578" w:lineRule="exact"/>
        <w:ind w:left="0" w:leftChars="0"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安全合规保障：遵循严格的信息安全标准，确保系统数据传输、存储安全，取得相关安全认证如信息系统安全等级保护备案证明等。</w:t>
      </w:r>
    </w:p>
    <w:p>
      <w:pPr>
        <w:numPr>
          <w:ilvl w:val="-1"/>
          <w:numId w:val="0"/>
        </w:numPr>
        <w:spacing w:beforeLines="0" w:after="0" w:afterLines="0" w:line="578" w:lineRule="exact"/>
        <w:ind w:left="0" w:leftChars="0" w:firstLine="640" w:firstLineChars="200"/>
        <w:jc w:val="both"/>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用户体验优化：注重系统界面设计与操作便捷性，有能力通过用户调研不断改进用户体验，降低单位用户操作难度。</w:t>
      </w:r>
    </w:p>
    <w:p>
      <w:pPr>
        <w:numPr>
          <w:ilvl w:val="0"/>
          <w:numId w:val="0"/>
        </w:numPr>
        <w:spacing w:beforeLines="0" w:after="0" w:afterLines="0" w:line="578"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4.交付质量要求：建立完善的质量管控体系，确保交付产品符合需求规格，无重大功能缺陷，通过严格的测试验证流程。</w:t>
      </w:r>
    </w:p>
    <w:p>
      <w:pPr>
        <w:numPr>
          <w:ilvl w:val="0"/>
          <w:numId w:val="0"/>
        </w:numPr>
        <w:spacing w:beforeLines="0" w:after="0" w:afterLines="0" w:line="578"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5.创新研发能力：具备持续改进的产品服务研发能力，能结合业务需求输出可落地的创新解决方案。</w:t>
      </w:r>
    </w:p>
    <w:p>
      <w:pPr>
        <w:numPr>
          <w:ilvl w:val="0"/>
          <w:numId w:val="0"/>
        </w:numPr>
        <w:spacing w:beforeLines="0" w:after="0" w:afterLines="0" w:line="578" w:lineRule="exact"/>
        <w:ind w:firstLine="0"/>
        <w:jc w:val="both"/>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6.服务地点，海南、四川、重庆、大连、西藏、北京等地。</w:t>
      </w:r>
    </w:p>
    <w:p>
      <w:pPr>
        <w:widowControl w:val="0"/>
        <w:tabs>
          <w:tab w:val="left" w:pos="142"/>
        </w:tabs>
        <w:spacing w:beforeLines="0" w:after="0" w:afterLines="0" w:line="578" w:lineRule="exact"/>
        <w:ind w:firstLine="0"/>
        <w:jc w:val="both"/>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（二）运维</w:t>
      </w:r>
      <w:r>
        <w:rPr>
          <w:rFonts w:hint="default" w:ascii="楷体" w:hAnsi="楷体" w:eastAsia="楷体" w:cs="楷体"/>
          <w:b w:val="0"/>
          <w:bCs w:val="0"/>
          <w:highlight w:val="none"/>
          <w:lang w:val="en-US" w:eastAsia="zh-CN"/>
        </w:rPr>
        <w:t>服务供应商</w:t>
      </w:r>
    </w:p>
    <w:p>
      <w:pPr>
        <w:numPr>
          <w:ilvl w:val="-1"/>
          <w:numId w:val="0"/>
        </w:numPr>
        <w:spacing w:beforeLines="0" w:after="0" w:afterLines="0" w:line="578" w:lineRule="exact"/>
        <w:ind w:left="0" w:leftChars="0"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本地化服务网络：在公司业务覆盖的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各省市</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地区设有常驻服务网点或可快速调配的服务团队，确保能及时响应现场运维需求。</w:t>
      </w:r>
    </w:p>
    <w:p>
      <w:pPr>
        <w:numPr>
          <w:ilvl w:val="-1"/>
          <w:numId w:val="0"/>
        </w:numPr>
        <w:spacing w:beforeLines="0" w:after="0" w:afterLines="0" w:line="578" w:lineRule="exact"/>
        <w:ind w:left="0" w:leftChars="0" w:firstLine="640" w:firstLineChars="200"/>
        <w:jc w:val="both"/>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2.熟悉财政业务：熟练掌握一体化系统相关业务及功能操作，能给用户提供操作指导、解决系统操作问题。</w:t>
      </w:r>
    </w:p>
    <w:p>
      <w:pPr>
        <w:numPr>
          <w:ilvl w:val="-1"/>
          <w:numId w:val="0"/>
        </w:numPr>
        <w:spacing w:beforeLines="0" w:after="0" w:afterLines="0" w:line="578" w:lineRule="exact"/>
        <w:ind w:left="0" w:leftChars="0"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技术多元性：运维团队成员具备多种技能，涵盖服务器维护、网络故障排查、软件故障修复等，能应对一体化系统各类技术问题。</w:t>
      </w:r>
    </w:p>
    <w:p>
      <w:pPr>
        <w:numPr>
          <w:ilvl w:val="0"/>
          <w:numId w:val="0"/>
        </w:numPr>
        <w:spacing w:beforeLines="0" w:after="0" w:afterLines="0" w:line="578" w:lineRule="exact"/>
        <w:ind w:firstLine="640" w:firstLineChars="200"/>
        <w:jc w:val="both"/>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应急响应机制：制定完善的应急预案，在遇到重大系统故障时能迅速启动，保障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各省市</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财政业务连续性，承诺紧急故障响应时间不超过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小时。</w:t>
      </w:r>
    </w:p>
    <w:p>
      <w:pPr>
        <w:numPr>
          <w:ilvl w:val="0"/>
          <w:numId w:val="0"/>
        </w:numPr>
        <w:spacing w:beforeLines="0" w:after="0" w:afterLines="0" w:line="578" w:lineRule="exact"/>
        <w:ind w:firstLine="640" w:firstLineChars="200"/>
        <w:jc w:val="both"/>
        <w:rPr>
          <w:rFonts w:hint="eastAsia" w:eastAsia="仿宋_GB2312"/>
          <w:highlight w:val="none"/>
          <w:lang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5.服务地点</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海南、四川、重庆、大连、西藏、北京等地。</w:t>
      </w:r>
    </w:p>
    <w:p>
      <w:pPr>
        <w:pStyle w:val="3"/>
        <w:spacing w:beforeLines="0" w:after="0" w:afterLines="0" w:line="578" w:lineRule="exact"/>
        <w:ind w:firstLine="0" w:firstLineChars="0"/>
        <w:jc w:val="center"/>
        <w:rPr>
          <w:rFonts w:ascii="黑体" w:hAnsi="黑体" w:eastAsia="黑体"/>
          <w:b w:val="0"/>
          <w:bCs w:val="0"/>
          <w:sz w:val="32"/>
          <w:szCs w:val="32"/>
          <w:highlight w:val="none"/>
        </w:rPr>
      </w:pPr>
      <w:r>
        <w:rPr>
          <w:rFonts w:hint="eastAsia" w:ascii="黑体" w:hAnsi="黑体" w:eastAsia="黑体"/>
          <w:b w:val="0"/>
          <w:bCs w:val="0"/>
          <w:sz w:val="32"/>
          <w:szCs w:val="32"/>
          <w:highlight w:val="none"/>
        </w:rPr>
        <w:t>第二章 入库要求</w:t>
      </w:r>
    </w:p>
    <w:p>
      <w:pPr>
        <w:pStyle w:val="2"/>
        <w:numPr>
          <w:ilvl w:val="0"/>
          <w:numId w:val="0"/>
        </w:numPr>
        <w:spacing w:before="0" w:beforeLines="0" w:after="0" w:afterLines="0" w:line="578" w:lineRule="exact"/>
        <w:ind w:left="0" w:firstLine="640" w:firstLineChars="200"/>
        <w:jc w:val="both"/>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四、</w:t>
      </w:r>
      <w:r>
        <w:rPr>
          <w:rFonts w:ascii="黑体" w:hAnsi="黑体" w:eastAsia="黑体"/>
          <w:b w:val="0"/>
          <w:bCs/>
          <w:color w:val="auto"/>
          <w:sz w:val="32"/>
          <w:szCs w:val="32"/>
          <w:highlight w:val="none"/>
        </w:rPr>
        <w:t>入库资质要求</w:t>
      </w:r>
    </w:p>
    <w:p>
      <w:pPr>
        <w:widowControl w:val="0"/>
        <w:tabs>
          <w:tab w:val="left" w:pos="142"/>
        </w:tabs>
        <w:spacing w:beforeLines="0" w:after="0" w:afterLines="0" w:line="578" w:lineRule="exact"/>
        <w:ind w:firstLine="0"/>
        <w:jc w:val="both"/>
        <w:rPr>
          <w:highlight w:val="none"/>
          <w:lang w:eastAsia="zh-CN"/>
        </w:rPr>
      </w:pPr>
      <w:r>
        <w:rPr>
          <w:rFonts w:hint="eastAsia" w:eastAsia="仿宋_GB2312"/>
          <w:highlight w:val="none"/>
          <w:lang w:eastAsia="zh-CN"/>
        </w:rPr>
        <w:t>申请入库的</w:t>
      </w:r>
      <w:r>
        <w:rPr>
          <w:rFonts w:hint="eastAsia" w:eastAsia="仿宋_GB2312"/>
          <w:highlight w:val="none"/>
          <w:lang w:val="en-US" w:eastAsia="zh-CN"/>
        </w:rPr>
        <w:t>服务供应商</w:t>
      </w:r>
      <w:r>
        <w:rPr>
          <w:rFonts w:hint="eastAsia" w:eastAsia="仿宋_GB2312"/>
          <w:highlight w:val="none"/>
          <w:lang w:eastAsia="zh-CN"/>
        </w:rPr>
        <w:t>需满足以下条件：</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486"/>
        <w:gridCol w:w="3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widowControl w:val="0"/>
              <w:tabs>
                <w:tab w:val="left" w:pos="142"/>
              </w:tabs>
              <w:spacing w:beforeLines="0" w:after="0" w:afterLines="0" w:line="578" w:lineRule="exact"/>
              <w:ind w:firstLine="0" w:firstLineChars="0"/>
              <w:jc w:val="center"/>
              <w:rPr>
                <w:rFonts w:cs="仿宋_GB2312"/>
                <w:b/>
                <w:bCs/>
                <w:sz w:val="24"/>
                <w:szCs w:val="24"/>
                <w:highlight w:val="none"/>
                <w:lang w:eastAsia="zh-CN"/>
              </w:rPr>
            </w:pPr>
            <w:r>
              <w:rPr>
                <w:rFonts w:hint="eastAsia" w:eastAsia="仿宋_GB2312" w:cs="仿宋_GB2312"/>
                <w:b/>
                <w:bCs/>
                <w:sz w:val="24"/>
                <w:szCs w:val="24"/>
                <w:highlight w:val="none"/>
                <w:lang w:eastAsia="zh-CN"/>
              </w:rPr>
              <w:t>序号</w:t>
            </w:r>
          </w:p>
        </w:tc>
        <w:tc>
          <w:tcPr>
            <w:tcW w:w="2800" w:type="pct"/>
            <w:vAlign w:val="center"/>
          </w:tcPr>
          <w:p>
            <w:pPr>
              <w:widowControl w:val="0"/>
              <w:tabs>
                <w:tab w:val="left" w:pos="142"/>
              </w:tabs>
              <w:spacing w:beforeLines="0" w:after="0" w:afterLines="0" w:line="578" w:lineRule="exact"/>
              <w:ind w:firstLine="0" w:firstLineChars="0"/>
              <w:jc w:val="center"/>
              <w:rPr>
                <w:rFonts w:cs="仿宋_GB2312"/>
                <w:b/>
                <w:bCs/>
                <w:sz w:val="24"/>
                <w:szCs w:val="24"/>
                <w:highlight w:val="none"/>
                <w:lang w:eastAsia="zh-CN"/>
              </w:rPr>
            </w:pPr>
            <w:r>
              <w:rPr>
                <w:rFonts w:hint="eastAsia" w:eastAsia="仿宋_GB2312" w:cs="仿宋_GB2312"/>
                <w:b/>
                <w:bCs/>
                <w:sz w:val="24"/>
                <w:szCs w:val="24"/>
                <w:highlight w:val="none"/>
                <w:lang w:eastAsia="zh-CN"/>
              </w:rPr>
              <w:t>入库条件</w:t>
            </w:r>
          </w:p>
        </w:tc>
        <w:tc>
          <w:tcPr>
            <w:tcW w:w="1814" w:type="pct"/>
            <w:vAlign w:val="center"/>
          </w:tcPr>
          <w:p>
            <w:pPr>
              <w:widowControl w:val="0"/>
              <w:tabs>
                <w:tab w:val="left" w:pos="142"/>
              </w:tabs>
              <w:spacing w:beforeLines="0" w:after="0" w:afterLines="0" w:line="578" w:lineRule="exact"/>
              <w:ind w:firstLine="0" w:firstLineChars="0"/>
              <w:jc w:val="center"/>
              <w:rPr>
                <w:rFonts w:cs="仿宋_GB2312"/>
                <w:b/>
                <w:bCs/>
                <w:sz w:val="24"/>
                <w:szCs w:val="24"/>
                <w:highlight w:val="none"/>
                <w:lang w:eastAsia="zh-CN"/>
              </w:rPr>
            </w:pPr>
            <w:r>
              <w:rPr>
                <w:rFonts w:hint="eastAsia" w:eastAsia="仿宋_GB2312" w:cs="仿宋_GB2312"/>
                <w:b/>
                <w:bCs/>
                <w:sz w:val="24"/>
                <w:szCs w:val="24"/>
                <w:highlight w:val="none"/>
                <w:lang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widowControl w:val="0"/>
              <w:tabs>
                <w:tab w:val="left" w:pos="142"/>
              </w:tabs>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1</w:t>
            </w:r>
          </w:p>
        </w:tc>
        <w:tc>
          <w:tcPr>
            <w:tcW w:w="2800" w:type="pct"/>
            <w:vAlign w:val="center"/>
          </w:tcPr>
          <w:p>
            <w:pPr>
              <w:widowControl w:val="0"/>
              <w:tabs>
                <w:tab w:val="left" w:pos="142"/>
              </w:tabs>
              <w:spacing w:beforeLines="0" w:after="0" w:afterLines="0" w:line="578" w:lineRule="exact"/>
              <w:ind w:firstLine="0" w:firstLineChars="0"/>
              <w:jc w:val="both"/>
              <w:rPr>
                <w:rFonts w:cs="仿宋_GB2312"/>
                <w:sz w:val="24"/>
                <w:szCs w:val="24"/>
                <w:highlight w:val="none"/>
                <w:lang w:eastAsia="zh-CN"/>
              </w:rPr>
            </w:pPr>
            <w:r>
              <w:rPr>
                <w:rFonts w:hint="eastAsia" w:eastAsia="仿宋_GB2312" w:cs="仿宋_GB2312"/>
                <w:sz w:val="24"/>
                <w:szCs w:val="24"/>
                <w:highlight w:val="none"/>
                <w:lang w:eastAsia="zh-CN"/>
              </w:rPr>
              <w:t>依法设立且存续时间2年（含）以上，具有独立承担民事责任的能力</w:t>
            </w:r>
          </w:p>
        </w:tc>
        <w:tc>
          <w:tcPr>
            <w:tcW w:w="1814" w:type="pct"/>
            <w:vAlign w:val="center"/>
          </w:tcPr>
          <w:p>
            <w:pPr>
              <w:widowControl w:val="0"/>
              <w:tabs>
                <w:tab w:val="left" w:pos="142"/>
              </w:tabs>
              <w:spacing w:beforeLines="0" w:after="0" w:afterLines="0" w:line="578" w:lineRule="exact"/>
              <w:ind w:firstLine="0" w:firstLineChars="0"/>
              <w:jc w:val="left"/>
              <w:rPr>
                <w:rFonts w:hint="default" w:cs="仿宋_GB2312"/>
                <w:sz w:val="24"/>
                <w:szCs w:val="24"/>
                <w:highlight w:val="none"/>
                <w:lang w:val="en-US" w:eastAsia="zh-CN"/>
              </w:rPr>
            </w:pPr>
            <w:r>
              <w:rPr>
                <w:rFonts w:hint="eastAsia" w:eastAsia="仿宋_GB2312" w:cs="仿宋_GB2312"/>
                <w:sz w:val="24"/>
                <w:szCs w:val="24"/>
                <w:highlight w:val="none"/>
                <w:lang w:eastAsia="zh-CN"/>
              </w:rPr>
              <w:t>提供市场监督管理部门注册的有效的“企业法人营业执照”或“营业执照”</w:t>
            </w:r>
            <w:r>
              <w:rPr>
                <w:rFonts w:hint="eastAsia" w:eastAsia="仿宋_GB2312" w:cs="仿宋_GB2312"/>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386" w:type="pct"/>
            <w:vAlign w:val="center"/>
          </w:tcPr>
          <w:p>
            <w:pPr>
              <w:widowControl w:val="0"/>
              <w:tabs>
                <w:tab w:val="left" w:pos="142"/>
              </w:tabs>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2</w:t>
            </w:r>
          </w:p>
        </w:tc>
        <w:tc>
          <w:tcPr>
            <w:tcW w:w="2800" w:type="pct"/>
            <w:vAlign w:val="center"/>
          </w:tcPr>
          <w:p>
            <w:pPr>
              <w:widowControl w:val="0"/>
              <w:tabs>
                <w:tab w:val="left" w:pos="142"/>
              </w:tabs>
              <w:spacing w:beforeLines="0" w:after="0" w:afterLines="0" w:line="578" w:lineRule="exact"/>
              <w:ind w:firstLine="0" w:firstLineChars="0"/>
              <w:jc w:val="both"/>
              <w:rPr>
                <w:rFonts w:cs="仿宋_GB2312"/>
                <w:sz w:val="24"/>
                <w:szCs w:val="24"/>
                <w:highlight w:val="none"/>
                <w:lang w:eastAsia="zh-CN"/>
              </w:rPr>
            </w:pPr>
            <w:r>
              <w:rPr>
                <w:rFonts w:hint="eastAsia" w:eastAsia="仿宋_GB2312" w:cs="仿宋_GB2312"/>
                <w:sz w:val="24"/>
                <w:szCs w:val="24"/>
                <w:highlight w:val="none"/>
                <w:lang w:eastAsia="zh-CN"/>
              </w:rPr>
              <w:t>具有良好的商业信誉和健全的财务会计制度；有依法缴纳税收和社会保障资金的良好记录</w:t>
            </w:r>
          </w:p>
        </w:tc>
        <w:tc>
          <w:tcPr>
            <w:tcW w:w="1814" w:type="pct"/>
            <w:vAlign w:val="center"/>
          </w:tcPr>
          <w:p>
            <w:pPr>
              <w:widowControl w:val="0"/>
              <w:tabs>
                <w:tab w:val="left" w:pos="142"/>
              </w:tabs>
              <w:spacing w:beforeLines="0" w:after="0" w:afterLines="0" w:line="578" w:lineRule="exact"/>
              <w:ind w:firstLine="0" w:firstLineChars="0"/>
              <w:jc w:val="left"/>
              <w:rPr>
                <w:rFonts w:cs="仿宋_GB2312"/>
                <w:sz w:val="24"/>
                <w:szCs w:val="24"/>
                <w:highlight w:val="none"/>
                <w:lang w:eastAsia="zh-CN"/>
              </w:rPr>
            </w:pPr>
            <w:r>
              <w:rPr>
                <w:rFonts w:hint="eastAsia" w:eastAsia="仿宋_GB2312" w:cs="仿宋_GB2312"/>
                <w:sz w:val="24"/>
                <w:szCs w:val="24"/>
                <w:highlight w:val="none"/>
                <w:lang w:eastAsia="zh-CN"/>
              </w:rPr>
              <w:t>提供商业信誉、财务会计制度、缴纳税收和社保的承诺函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86" w:type="pct"/>
            <w:vAlign w:val="center"/>
          </w:tcPr>
          <w:p>
            <w:pPr>
              <w:widowControl w:val="0"/>
              <w:tabs>
                <w:tab w:val="left" w:pos="142"/>
              </w:tabs>
              <w:spacing w:beforeLines="0" w:after="0" w:afterLines="0" w:line="578" w:lineRule="exact"/>
              <w:ind w:firstLine="0" w:firstLineChars="0"/>
              <w:jc w:val="center"/>
              <w:rPr>
                <w:rFonts w:hint="default" w:cs="仿宋_GB2312"/>
                <w:sz w:val="24"/>
                <w:szCs w:val="24"/>
                <w:highlight w:val="none"/>
                <w:lang w:val="en-US" w:eastAsia="zh-CN"/>
              </w:rPr>
            </w:pPr>
            <w:r>
              <w:rPr>
                <w:rFonts w:hint="eastAsia" w:eastAsia="仿宋_GB2312" w:cs="仿宋_GB2312"/>
                <w:sz w:val="24"/>
                <w:szCs w:val="24"/>
                <w:highlight w:val="none"/>
                <w:lang w:val="en-US" w:eastAsia="zh-CN"/>
              </w:rPr>
              <w:t>3</w:t>
            </w:r>
          </w:p>
        </w:tc>
        <w:tc>
          <w:tcPr>
            <w:tcW w:w="2800" w:type="pct"/>
            <w:vAlign w:val="center"/>
          </w:tcPr>
          <w:p>
            <w:pPr>
              <w:widowControl w:val="0"/>
              <w:tabs>
                <w:tab w:val="left" w:pos="142"/>
              </w:tabs>
              <w:spacing w:beforeLines="0" w:after="0" w:afterLines="0" w:line="578" w:lineRule="exact"/>
              <w:ind w:firstLine="0" w:firstLineChars="0"/>
              <w:jc w:val="both"/>
              <w:rPr>
                <w:rFonts w:hint="eastAsia" w:cs="仿宋_GB2312"/>
                <w:sz w:val="24"/>
                <w:szCs w:val="24"/>
                <w:highlight w:val="none"/>
                <w:lang w:eastAsia="zh-CN"/>
              </w:rPr>
            </w:pPr>
            <w:r>
              <w:rPr>
                <w:rFonts w:hint="eastAsia" w:eastAsia="仿宋_GB2312" w:cs="仿宋_GB2312"/>
                <w:sz w:val="24"/>
                <w:szCs w:val="24"/>
                <w:highlight w:val="none"/>
                <w:lang w:eastAsia="zh-CN"/>
              </w:rPr>
              <w:t>具有履行</w:t>
            </w:r>
            <w:r>
              <w:rPr>
                <w:rFonts w:hint="eastAsia" w:eastAsia="仿宋_GB2312" w:cs="仿宋_GB2312"/>
                <w:sz w:val="24"/>
                <w:szCs w:val="24"/>
                <w:highlight w:val="none"/>
                <w:lang w:val="en-US" w:eastAsia="zh-CN"/>
              </w:rPr>
              <w:t>项目</w:t>
            </w:r>
            <w:r>
              <w:rPr>
                <w:rFonts w:hint="eastAsia" w:eastAsia="仿宋_GB2312" w:cs="仿宋_GB2312"/>
                <w:sz w:val="24"/>
                <w:szCs w:val="24"/>
                <w:highlight w:val="none"/>
                <w:lang w:eastAsia="zh-CN"/>
              </w:rPr>
              <w:t>所必须的设备和专业技术能力</w:t>
            </w:r>
          </w:p>
        </w:tc>
        <w:tc>
          <w:tcPr>
            <w:tcW w:w="1814" w:type="pct"/>
            <w:vAlign w:val="center"/>
          </w:tcPr>
          <w:p>
            <w:pPr>
              <w:widowControl w:val="0"/>
              <w:tabs>
                <w:tab w:val="left" w:pos="142"/>
              </w:tabs>
              <w:spacing w:beforeLines="0" w:after="0" w:afterLines="0" w:line="578" w:lineRule="exact"/>
              <w:ind w:firstLine="0" w:firstLineChars="0"/>
              <w:jc w:val="left"/>
              <w:rPr>
                <w:rFonts w:hint="eastAsia" w:cs="仿宋_GB2312"/>
                <w:sz w:val="24"/>
                <w:szCs w:val="24"/>
                <w:highlight w:val="none"/>
                <w:lang w:eastAsia="zh-CN"/>
              </w:rPr>
            </w:pPr>
            <w:r>
              <w:rPr>
                <w:rFonts w:hint="eastAsia" w:eastAsia="仿宋_GB2312" w:cs="仿宋_GB2312"/>
                <w:sz w:val="24"/>
                <w:szCs w:val="24"/>
                <w:highlight w:val="none"/>
                <w:lang w:eastAsia="zh-CN"/>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widowControl w:val="0"/>
              <w:tabs>
                <w:tab w:val="left" w:pos="142"/>
              </w:tabs>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val="en-US" w:eastAsia="zh-CN"/>
              </w:rPr>
              <w:t>4</w:t>
            </w:r>
          </w:p>
        </w:tc>
        <w:tc>
          <w:tcPr>
            <w:tcW w:w="2800" w:type="pct"/>
            <w:vAlign w:val="center"/>
          </w:tcPr>
          <w:p>
            <w:pPr>
              <w:widowControl w:val="0"/>
              <w:spacing w:beforeLines="0" w:after="0" w:afterLines="0" w:line="578" w:lineRule="exact"/>
              <w:ind w:firstLine="0" w:firstLineChars="0"/>
              <w:jc w:val="both"/>
              <w:rPr>
                <w:rFonts w:cs="仿宋_GB2312"/>
                <w:sz w:val="24"/>
                <w:szCs w:val="24"/>
                <w:highlight w:val="none"/>
                <w:lang w:eastAsia="zh-CN"/>
              </w:rPr>
            </w:pPr>
            <w:r>
              <w:rPr>
                <w:rFonts w:hint="eastAsia" w:eastAsia="仿宋_GB2312" w:cs="仿宋_GB2312"/>
                <w:sz w:val="24"/>
                <w:szCs w:val="24"/>
                <w:highlight w:val="none"/>
                <w:lang w:eastAsia="zh-CN"/>
              </w:rPr>
              <w:t>参加采购活动前三年内，在经营活动中没有重大违法记录</w:t>
            </w:r>
          </w:p>
        </w:tc>
        <w:tc>
          <w:tcPr>
            <w:tcW w:w="1814" w:type="pct"/>
            <w:vAlign w:val="center"/>
          </w:tcPr>
          <w:p>
            <w:pPr>
              <w:widowControl w:val="0"/>
              <w:tabs>
                <w:tab w:val="left" w:pos="142"/>
              </w:tabs>
              <w:spacing w:beforeLines="0" w:after="0" w:afterLines="0" w:line="578" w:lineRule="exact"/>
              <w:ind w:firstLine="0" w:firstLineChars="0"/>
              <w:jc w:val="left"/>
              <w:rPr>
                <w:rFonts w:cs="仿宋_GB2312"/>
                <w:sz w:val="24"/>
                <w:szCs w:val="24"/>
                <w:highlight w:val="none"/>
                <w:lang w:eastAsia="zh-CN"/>
              </w:rPr>
            </w:pPr>
            <w:r>
              <w:rPr>
                <w:rFonts w:hint="eastAsia" w:eastAsia="仿宋_GB2312" w:cs="仿宋_GB2312"/>
                <w:sz w:val="24"/>
                <w:szCs w:val="24"/>
                <w:highlight w:val="none"/>
                <w:lang w:eastAsia="zh-CN"/>
              </w:rPr>
              <w:t>无重大违法记录声明函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widowControl w:val="0"/>
              <w:tabs>
                <w:tab w:val="left" w:pos="142"/>
              </w:tabs>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val="en-US" w:eastAsia="zh-CN"/>
              </w:rPr>
              <w:t>5</w:t>
            </w:r>
          </w:p>
        </w:tc>
        <w:tc>
          <w:tcPr>
            <w:tcW w:w="2800" w:type="pct"/>
            <w:vAlign w:val="center"/>
          </w:tcPr>
          <w:p>
            <w:pPr>
              <w:widowControl w:val="0"/>
              <w:tabs>
                <w:tab w:val="left" w:pos="142"/>
              </w:tabs>
              <w:spacing w:beforeLines="0" w:after="0" w:afterLines="0" w:line="578" w:lineRule="exact"/>
              <w:ind w:firstLine="0" w:firstLineChars="0"/>
              <w:jc w:val="both"/>
              <w:rPr>
                <w:rFonts w:hint="default" w:cs="仿宋_GB2312"/>
                <w:sz w:val="24"/>
                <w:szCs w:val="24"/>
                <w:highlight w:val="none"/>
                <w:lang w:val="en-US" w:eastAsia="zh-CN"/>
              </w:rPr>
            </w:pPr>
            <w:r>
              <w:rPr>
                <w:rFonts w:hint="eastAsia" w:eastAsia="仿宋_GB2312" w:cs="仿宋_GB2312"/>
                <w:sz w:val="24"/>
                <w:szCs w:val="24"/>
                <w:highlight w:val="none"/>
                <w:lang w:eastAsia="zh-CN"/>
              </w:rPr>
              <w:t>申请</w:t>
            </w:r>
            <w:r>
              <w:rPr>
                <w:rFonts w:hint="eastAsia" w:eastAsia="仿宋_GB2312" w:cs="仿宋_GB2312"/>
                <w:sz w:val="24"/>
                <w:szCs w:val="24"/>
                <w:highlight w:val="none"/>
                <w:lang w:val="en-US" w:eastAsia="zh-CN"/>
              </w:rPr>
              <w:t>单位</w:t>
            </w:r>
            <w:r>
              <w:rPr>
                <w:rFonts w:hint="eastAsia" w:eastAsia="仿宋_GB2312" w:cs="仿宋_GB2312"/>
                <w:sz w:val="24"/>
                <w:szCs w:val="24"/>
                <w:highlight w:val="none"/>
                <w:lang w:eastAsia="zh-CN"/>
              </w:rPr>
              <w:t>近5年内未被列入失信被执行人名单、政府采购严重违法失信行为记录名单、重大税收违法失信主体；未被列入政府采购严重违法失信行为记录名单</w:t>
            </w:r>
          </w:p>
        </w:tc>
        <w:tc>
          <w:tcPr>
            <w:tcW w:w="1814" w:type="pct"/>
            <w:vAlign w:val="center"/>
          </w:tcPr>
          <w:p>
            <w:pPr>
              <w:widowControl w:val="0"/>
              <w:tabs>
                <w:tab w:val="left" w:pos="142"/>
              </w:tabs>
              <w:spacing w:beforeLines="0" w:after="0" w:afterLines="0" w:line="578" w:lineRule="exact"/>
              <w:ind w:firstLine="0" w:firstLineChars="0"/>
              <w:jc w:val="left"/>
              <w:rPr>
                <w:rFonts w:cs="仿宋_GB2312"/>
                <w:sz w:val="24"/>
                <w:szCs w:val="24"/>
                <w:highlight w:val="none"/>
                <w:lang w:eastAsia="zh-CN"/>
              </w:rPr>
            </w:pPr>
            <w:r>
              <w:rPr>
                <w:rFonts w:hint="eastAsia" w:eastAsia="仿宋_GB2312" w:cs="仿宋_GB2312"/>
                <w:sz w:val="24"/>
                <w:szCs w:val="24"/>
                <w:highlight w:val="none"/>
                <w:lang w:eastAsia="zh-CN"/>
              </w:rPr>
              <w:t>信用中国网站公示信息截图（www.creditchina.gov.cn）、中国政府采购网</w:t>
            </w:r>
            <w:r>
              <w:rPr>
                <w:rFonts w:hint="eastAsia" w:eastAsia="仿宋_GB2312" w:cs="仿宋_GB2312"/>
                <w:sz w:val="24"/>
                <w:szCs w:val="24"/>
                <w:highlight w:val="none"/>
                <w:lang w:val="en-US" w:eastAsia="zh-CN"/>
              </w:rPr>
              <w:t>信息截图</w:t>
            </w:r>
            <w:r>
              <w:rPr>
                <w:rFonts w:hint="eastAsia" w:eastAsia="仿宋_GB2312" w:cs="仿宋_GB2312"/>
                <w:sz w:val="24"/>
                <w:szCs w:val="24"/>
                <w:highlight w:val="none"/>
                <w:lang w:eastAsia="zh-CN"/>
              </w:rPr>
              <w:t>（www.ccgp.gov.cn）</w:t>
            </w:r>
          </w:p>
        </w:tc>
      </w:tr>
    </w:tbl>
    <w:p>
      <w:pPr>
        <w:widowControl w:val="0"/>
        <w:tabs>
          <w:tab w:val="left" w:pos="142"/>
        </w:tabs>
        <w:spacing w:beforeLines="0" w:after="0" w:afterLines="0" w:line="578" w:lineRule="exact"/>
        <w:ind w:left="-320" w:leftChars="-100" w:firstLine="0" w:firstLineChars="0"/>
        <w:jc w:val="both"/>
        <w:rPr>
          <w:rFonts w:eastAsia="仿宋_GB2312"/>
          <w:b/>
          <w:bCs/>
          <w:sz w:val="24"/>
          <w:szCs w:val="24"/>
          <w:highlight w:val="none"/>
          <w:lang w:eastAsia="zh-CN"/>
        </w:rPr>
      </w:pPr>
      <w:r>
        <w:rPr>
          <w:rFonts w:eastAsia="仿宋_GB2312"/>
          <w:b/>
          <w:bCs/>
          <w:sz w:val="24"/>
          <w:szCs w:val="24"/>
          <w:highlight w:val="none"/>
          <w:lang w:eastAsia="zh-CN"/>
        </w:rPr>
        <w:tab/>
      </w:r>
      <w:r>
        <w:rPr>
          <w:rFonts w:hint="eastAsia" w:eastAsia="仿宋_GB2312"/>
          <w:b/>
          <w:bCs/>
          <w:sz w:val="24"/>
          <w:szCs w:val="24"/>
          <w:highlight w:val="none"/>
          <w:lang w:eastAsia="zh-CN"/>
        </w:rPr>
        <w:t>注：本文件所指</w:t>
      </w:r>
      <w:r>
        <w:rPr>
          <w:rFonts w:eastAsia="仿宋_GB2312"/>
          <w:b/>
          <w:bCs/>
          <w:sz w:val="24"/>
          <w:szCs w:val="24"/>
          <w:highlight w:val="none"/>
          <w:lang w:eastAsia="zh-CN"/>
        </w:rPr>
        <w:t>时间条件一概以</w:t>
      </w:r>
      <w:r>
        <w:rPr>
          <w:rFonts w:hint="eastAsia" w:eastAsia="仿宋_GB2312"/>
          <w:b/>
          <w:bCs/>
          <w:sz w:val="24"/>
          <w:szCs w:val="24"/>
          <w:highlight w:val="none"/>
          <w:lang w:eastAsia="zh-CN"/>
        </w:rPr>
        <w:t>入库</w:t>
      </w:r>
      <w:r>
        <w:rPr>
          <w:rFonts w:eastAsia="仿宋_GB2312"/>
          <w:b/>
          <w:bCs/>
          <w:sz w:val="24"/>
          <w:szCs w:val="24"/>
          <w:highlight w:val="none"/>
          <w:lang w:eastAsia="zh-CN"/>
        </w:rPr>
        <w:t>公告发布当日作为截止节点，并自该日起向前倒推计算。</w:t>
      </w:r>
    </w:p>
    <w:p>
      <w:pPr>
        <w:pStyle w:val="2"/>
        <w:numPr>
          <w:ilvl w:val="-1"/>
          <w:numId w:val="0"/>
        </w:numPr>
        <w:spacing w:before="0" w:beforeLines="0" w:after="0" w:afterLines="0" w:line="578" w:lineRule="exact"/>
        <w:ind w:left="567" w:firstLine="0" w:firstLineChars="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五、</w:t>
      </w:r>
      <w:r>
        <w:rPr>
          <w:rFonts w:hint="eastAsia" w:ascii="黑体" w:hAnsi="黑体" w:eastAsia="黑体"/>
          <w:b w:val="0"/>
          <w:bCs/>
          <w:color w:val="auto"/>
          <w:sz w:val="32"/>
          <w:szCs w:val="32"/>
          <w:highlight w:val="none"/>
        </w:rPr>
        <w:t>入库评分标准</w:t>
      </w:r>
    </w:p>
    <w:p>
      <w:pPr>
        <w:widowControl w:val="0"/>
        <w:numPr>
          <w:ilvl w:val="0"/>
          <w:numId w:val="0"/>
        </w:numPr>
        <w:tabs>
          <w:tab w:val="left" w:pos="142"/>
        </w:tabs>
        <w:spacing w:beforeLines="0" w:after="0" w:afterLines="0" w:line="578" w:lineRule="exact"/>
        <w:ind w:firstLine="640"/>
        <w:jc w:val="both"/>
        <w:rPr>
          <w:rFonts w:hint="eastAsia" w:ascii="仿宋" w:hAnsi="仿宋" w:eastAsia="仿宋_GB2312" w:cs="仿宋"/>
          <w:sz w:val="32"/>
          <w:szCs w:val="32"/>
          <w:highlight w:val="none"/>
          <w:lang w:eastAsia="zh-CN" w:bidi="ar-SA"/>
        </w:rPr>
      </w:pPr>
      <w:r>
        <w:rPr>
          <w:rFonts w:hint="eastAsia" w:ascii="仿宋" w:hAnsi="仿宋" w:eastAsia="仿宋_GB2312" w:cs="仿宋"/>
          <w:sz w:val="32"/>
          <w:szCs w:val="32"/>
          <w:highlight w:val="none"/>
          <w:lang w:eastAsia="zh-CN" w:bidi="ar-SA"/>
        </w:rPr>
        <w:t>入库评分</w:t>
      </w:r>
      <w:r>
        <w:rPr>
          <w:rFonts w:hint="eastAsia" w:eastAsia="仿宋_GB2312" w:cs="仿宋"/>
          <w:sz w:val="32"/>
          <w:szCs w:val="32"/>
          <w:highlight w:val="none"/>
          <w:lang w:val="en-US" w:eastAsia="zh-CN" w:bidi="ar-SA"/>
        </w:rPr>
        <w:t>标准</w:t>
      </w:r>
      <w:r>
        <w:rPr>
          <w:rFonts w:hint="eastAsia" w:ascii="仿宋" w:hAnsi="仿宋" w:eastAsia="仿宋_GB2312" w:cs="仿宋"/>
          <w:sz w:val="32"/>
          <w:szCs w:val="32"/>
          <w:highlight w:val="none"/>
          <w:lang w:eastAsia="zh-CN" w:bidi="ar-SA"/>
        </w:rPr>
        <w:t>分为</w:t>
      </w:r>
      <w:r>
        <w:rPr>
          <w:rFonts w:hint="eastAsia" w:eastAsia="仿宋_GB2312" w:cs="仿宋"/>
          <w:sz w:val="32"/>
          <w:szCs w:val="32"/>
          <w:highlight w:val="none"/>
          <w:lang w:val="en-US" w:eastAsia="zh-CN" w:bidi="ar-SA"/>
        </w:rPr>
        <w:t>企业综合实力、</w:t>
      </w:r>
      <w:r>
        <w:rPr>
          <w:rFonts w:hint="eastAsia" w:ascii="仿宋" w:hAnsi="仿宋" w:eastAsia="仿宋_GB2312" w:cs="仿宋"/>
          <w:sz w:val="32"/>
          <w:szCs w:val="32"/>
          <w:highlight w:val="none"/>
          <w:lang w:eastAsia="zh-CN" w:bidi="ar-SA"/>
        </w:rPr>
        <w:t>服务</w:t>
      </w:r>
      <w:r>
        <w:rPr>
          <w:rFonts w:hint="eastAsia" w:eastAsia="仿宋_GB2312" w:cs="仿宋"/>
          <w:sz w:val="32"/>
          <w:szCs w:val="32"/>
          <w:highlight w:val="none"/>
          <w:lang w:val="en-US" w:eastAsia="zh-CN" w:bidi="ar-SA"/>
        </w:rPr>
        <w:t>能力</w:t>
      </w:r>
      <w:r>
        <w:rPr>
          <w:rFonts w:hint="eastAsia" w:ascii="仿宋" w:hAnsi="仿宋" w:eastAsia="仿宋_GB2312" w:cs="仿宋"/>
          <w:sz w:val="32"/>
          <w:szCs w:val="32"/>
          <w:highlight w:val="none"/>
          <w:lang w:eastAsia="zh-CN" w:bidi="ar-SA"/>
        </w:rPr>
        <w:t>与业绩证明</w:t>
      </w:r>
      <w:r>
        <w:rPr>
          <w:rFonts w:hint="eastAsia" w:eastAsia="仿宋_GB2312" w:cs="仿宋"/>
          <w:sz w:val="32"/>
          <w:szCs w:val="32"/>
          <w:highlight w:val="none"/>
          <w:lang w:val="en-US" w:eastAsia="zh-CN" w:bidi="ar-SA"/>
        </w:rPr>
        <w:t>三</w:t>
      </w:r>
      <w:r>
        <w:rPr>
          <w:rFonts w:hint="eastAsia" w:ascii="仿宋" w:hAnsi="仿宋" w:eastAsia="仿宋_GB2312" w:cs="仿宋"/>
          <w:sz w:val="32"/>
          <w:szCs w:val="32"/>
          <w:highlight w:val="none"/>
          <w:lang w:eastAsia="zh-CN" w:bidi="ar-SA"/>
        </w:rPr>
        <w:t>个方面，</w:t>
      </w:r>
      <w:r>
        <w:rPr>
          <w:rFonts w:hint="eastAsia" w:eastAsia="仿宋_GB2312" w:cs="仿宋"/>
          <w:sz w:val="32"/>
          <w:szCs w:val="32"/>
          <w:highlight w:val="none"/>
          <w:lang w:val="en-US" w:eastAsia="zh-CN" w:bidi="ar-SA"/>
        </w:rPr>
        <w:t>其中，</w:t>
      </w:r>
      <w:r>
        <w:rPr>
          <w:rFonts w:hint="eastAsia" w:ascii="仿宋" w:hAnsi="仿宋" w:eastAsia="仿宋_GB2312" w:cs="仿宋"/>
          <w:sz w:val="32"/>
          <w:szCs w:val="32"/>
          <w:highlight w:val="none"/>
          <w:lang w:eastAsia="zh-CN" w:bidi="ar-SA"/>
        </w:rPr>
        <w:t>各类别</w:t>
      </w:r>
      <w:r>
        <w:rPr>
          <w:rFonts w:hint="eastAsia" w:eastAsia="仿宋_GB2312" w:cs="仿宋"/>
          <w:sz w:val="32"/>
          <w:szCs w:val="32"/>
          <w:highlight w:val="none"/>
          <w:lang w:val="en-US" w:eastAsia="zh-CN" w:bidi="ar-SA"/>
        </w:rPr>
        <w:t>企业综合实力、</w:t>
      </w:r>
      <w:r>
        <w:rPr>
          <w:rFonts w:hint="eastAsia" w:ascii="仿宋" w:hAnsi="仿宋" w:eastAsia="仿宋_GB2312" w:cs="仿宋"/>
          <w:sz w:val="32"/>
          <w:szCs w:val="32"/>
          <w:highlight w:val="none"/>
          <w:lang w:eastAsia="zh-CN" w:bidi="ar-SA"/>
        </w:rPr>
        <w:t>服务</w:t>
      </w:r>
      <w:r>
        <w:rPr>
          <w:rFonts w:hint="eastAsia" w:eastAsia="仿宋_GB2312" w:cs="仿宋"/>
          <w:sz w:val="32"/>
          <w:szCs w:val="32"/>
          <w:highlight w:val="none"/>
          <w:lang w:val="en-US" w:eastAsia="zh-CN" w:bidi="ar-SA"/>
        </w:rPr>
        <w:t>能力</w:t>
      </w:r>
      <w:r>
        <w:rPr>
          <w:rFonts w:hint="eastAsia" w:ascii="仿宋" w:hAnsi="仿宋" w:eastAsia="仿宋_GB2312" w:cs="仿宋"/>
          <w:sz w:val="32"/>
          <w:szCs w:val="32"/>
          <w:highlight w:val="none"/>
          <w:lang w:eastAsia="zh-CN" w:bidi="ar-SA"/>
        </w:rPr>
        <w:t>评分标准</w:t>
      </w:r>
      <w:r>
        <w:rPr>
          <w:rFonts w:hint="eastAsia" w:eastAsia="仿宋_GB2312" w:cs="仿宋"/>
          <w:sz w:val="32"/>
          <w:szCs w:val="32"/>
          <w:highlight w:val="none"/>
          <w:lang w:val="en-US" w:eastAsia="zh-CN" w:bidi="ar-SA"/>
        </w:rPr>
        <w:t>和</w:t>
      </w:r>
      <w:r>
        <w:rPr>
          <w:rFonts w:hint="eastAsia" w:ascii="仿宋" w:hAnsi="仿宋" w:eastAsia="仿宋_GB2312" w:cs="仿宋"/>
          <w:sz w:val="32"/>
          <w:szCs w:val="32"/>
          <w:highlight w:val="none"/>
          <w:lang w:eastAsia="zh-CN" w:bidi="ar-SA"/>
        </w:rPr>
        <w:t>业绩证明按申报类别差异化设置。</w:t>
      </w:r>
      <w:r>
        <w:rPr>
          <w:rFonts w:hint="eastAsia" w:eastAsia="仿宋_GB2312" w:cs="仿宋"/>
          <w:sz w:val="32"/>
          <w:szCs w:val="32"/>
          <w:highlight w:val="none"/>
          <w:lang w:eastAsia="zh-CN" w:bidi="ar-SA"/>
        </w:rPr>
        <w:t>（</w:t>
      </w:r>
      <w:r>
        <w:rPr>
          <w:rFonts w:hint="eastAsia" w:eastAsia="仿宋_GB2312" w:cs="仿宋"/>
          <w:sz w:val="32"/>
          <w:szCs w:val="32"/>
          <w:highlight w:val="none"/>
          <w:lang w:val="en-US" w:eastAsia="zh-CN" w:bidi="ar-SA"/>
        </w:rPr>
        <w:t>详见附件5</w:t>
      </w:r>
      <w:r>
        <w:rPr>
          <w:rFonts w:hint="eastAsia" w:eastAsia="仿宋_GB2312" w:cs="仿宋"/>
          <w:sz w:val="32"/>
          <w:szCs w:val="32"/>
          <w:highlight w:val="none"/>
          <w:lang w:eastAsia="zh-CN" w:bidi="ar-SA"/>
        </w:rPr>
        <w:t>）</w:t>
      </w:r>
    </w:p>
    <w:p>
      <w:pPr>
        <w:widowControl w:val="0"/>
        <w:numPr>
          <w:ilvl w:val="0"/>
          <w:numId w:val="0"/>
        </w:numPr>
        <w:tabs>
          <w:tab w:val="left" w:pos="142"/>
        </w:tabs>
        <w:spacing w:beforeLines="0" w:after="0" w:afterLines="0" w:line="578" w:lineRule="exact"/>
        <w:ind w:firstLine="640"/>
        <w:jc w:val="both"/>
        <w:rPr>
          <w:rFonts w:hint="eastAsia" w:ascii="楷体" w:hAnsi="楷体" w:eastAsia="楷体" w:cs="楷体"/>
          <w:b w:val="0"/>
          <w:bCs w:val="0"/>
          <w:sz w:val="32"/>
          <w:szCs w:val="32"/>
          <w:highlight w:val="none"/>
          <w:lang w:val="en-US" w:eastAsia="zh-CN" w:bidi="ar-SA"/>
        </w:rPr>
      </w:pPr>
      <w:r>
        <w:rPr>
          <w:rFonts w:hint="eastAsia" w:ascii="楷体" w:hAnsi="楷体" w:eastAsia="楷体" w:cs="楷体"/>
          <w:b w:val="0"/>
          <w:bCs w:val="0"/>
          <w:sz w:val="32"/>
          <w:szCs w:val="32"/>
          <w:highlight w:val="none"/>
          <w:lang w:eastAsia="zh-CN" w:bidi="ar-SA"/>
        </w:rPr>
        <w:t>（</w:t>
      </w:r>
      <w:r>
        <w:rPr>
          <w:rFonts w:hint="eastAsia" w:ascii="楷体" w:hAnsi="楷体" w:eastAsia="楷体" w:cs="楷体"/>
          <w:b w:val="0"/>
          <w:bCs w:val="0"/>
          <w:sz w:val="32"/>
          <w:szCs w:val="32"/>
          <w:highlight w:val="none"/>
          <w:lang w:val="en-US" w:eastAsia="zh-CN" w:bidi="ar-SA"/>
        </w:rPr>
        <w:t>一</w:t>
      </w:r>
      <w:r>
        <w:rPr>
          <w:rFonts w:hint="eastAsia" w:ascii="楷体" w:hAnsi="楷体" w:eastAsia="楷体" w:cs="楷体"/>
          <w:b w:val="0"/>
          <w:bCs w:val="0"/>
          <w:sz w:val="32"/>
          <w:szCs w:val="32"/>
          <w:highlight w:val="none"/>
          <w:lang w:eastAsia="zh-CN" w:bidi="ar-SA"/>
        </w:rPr>
        <w:t>）服务</w:t>
      </w:r>
      <w:r>
        <w:rPr>
          <w:rFonts w:hint="eastAsia" w:ascii="楷体" w:hAnsi="楷体" w:eastAsia="楷体" w:cs="楷体"/>
          <w:b w:val="0"/>
          <w:bCs w:val="0"/>
          <w:sz w:val="32"/>
          <w:szCs w:val="32"/>
          <w:highlight w:val="none"/>
          <w:lang w:val="en-US" w:eastAsia="zh-CN" w:bidi="ar-SA"/>
        </w:rPr>
        <w:t>能力</w:t>
      </w:r>
      <w:r>
        <w:rPr>
          <w:rFonts w:hint="eastAsia" w:ascii="楷体" w:hAnsi="楷体" w:eastAsia="楷体" w:cs="楷体"/>
          <w:b w:val="0"/>
          <w:bCs w:val="0"/>
          <w:sz w:val="32"/>
          <w:szCs w:val="32"/>
          <w:highlight w:val="none"/>
          <w:lang w:eastAsia="zh-CN" w:bidi="ar-SA"/>
        </w:rPr>
        <w:t>评分</w:t>
      </w:r>
      <w:r>
        <w:rPr>
          <w:rFonts w:hint="eastAsia" w:ascii="楷体" w:hAnsi="楷体" w:eastAsia="楷体" w:cs="楷体"/>
          <w:b w:val="0"/>
          <w:bCs w:val="0"/>
          <w:sz w:val="32"/>
          <w:szCs w:val="32"/>
          <w:highlight w:val="none"/>
          <w:lang w:val="en-US" w:eastAsia="zh-CN" w:bidi="ar-SA"/>
        </w:rPr>
        <w:t>内容</w:t>
      </w:r>
    </w:p>
    <w:tbl>
      <w:tblPr>
        <w:tblStyle w:val="12"/>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40"/>
        <w:gridCol w:w="1495"/>
        <w:gridCol w:w="3370"/>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序号</w:t>
            </w:r>
          </w:p>
        </w:tc>
        <w:tc>
          <w:tcPr>
            <w:tcW w:w="787"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申报类别</w:t>
            </w:r>
          </w:p>
        </w:tc>
        <w:tc>
          <w:tcPr>
            <w:tcW w:w="87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评分内容</w:t>
            </w:r>
          </w:p>
        </w:tc>
        <w:tc>
          <w:tcPr>
            <w:tcW w:w="198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评分标准</w:t>
            </w:r>
          </w:p>
        </w:tc>
        <w:tc>
          <w:tcPr>
            <w:tcW w:w="927"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default"/>
                <w:highlight w:val="none"/>
                <w:vertAlign w:val="baseline"/>
                <w:lang w:val="en-US" w:eastAsia="zh-CN"/>
              </w:rPr>
            </w:pPr>
            <w:r>
              <w:rPr>
                <w:rFonts w:hint="eastAsia"/>
                <w:highlight w:val="none"/>
                <w:vertAlign w:val="baseline"/>
                <w:lang w:val="en-US" w:eastAsia="zh-CN"/>
              </w:rPr>
              <w:t>1</w:t>
            </w:r>
          </w:p>
        </w:tc>
        <w:tc>
          <w:tcPr>
            <w:tcW w:w="787" w:type="pct"/>
            <w:vMerge w:val="restar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r>
              <w:rPr>
                <w:rFonts w:hint="default" w:ascii="仿宋_GB2312" w:hAnsi="仿宋_GB2312" w:eastAsia="仿宋_GB2312" w:cs="仿宋_GB2312"/>
                <w:b/>
                <w:bCs w:val="0"/>
                <w:color w:val="auto"/>
                <w:sz w:val="24"/>
                <w:szCs w:val="24"/>
                <w:highlight w:val="none"/>
                <w:vertAlign w:val="baseline"/>
                <w:lang w:val="en-US" w:eastAsia="zh-CN" w:bidi="ar-SA"/>
              </w:rPr>
              <w:t>软件产品服务类</w:t>
            </w:r>
          </w:p>
        </w:tc>
        <w:tc>
          <w:tcPr>
            <w:tcW w:w="87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企业综合实力</w:t>
            </w:r>
          </w:p>
        </w:tc>
        <w:tc>
          <w:tcPr>
            <w:tcW w:w="1980" w:type="pct"/>
            <w:vAlign w:val="center"/>
          </w:tcPr>
          <w:p>
            <w:pPr>
              <w:widowControl w:val="0"/>
              <w:spacing w:beforeLines="0" w:after="0" w:afterLines="0" w:line="400" w:lineRule="exact"/>
              <w:jc w:val="center"/>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根据企业提供的软件著作权登记证书、资质证书进行判断</w:t>
            </w:r>
          </w:p>
        </w:tc>
        <w:tc>
          <w:tcPr>
            <w:tcW w:w="927" w:type="pct"/>
            <w:vAlign w:val="center"/>
          </w:tcPr>
          <w:p>
            <w:pPr>
              <w:widowControl w:val="0"/>
              <w:spacing w:beforeLines="0" w:after="0" w:afterLines="0" w:line="400" w:lineRule="exact"/>
              <w:ind w:left="0" w:leftChars="0" w:firstLine="0" w:firstLineChars="0"/>
              <w:jc w:val="center"/>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default"/>
                <w:highlight w:val="none"/>
                <w:vertAlign w:val="baseline"/>
                <w:lang w:val="en-US" w:eastAsia="zh-CN"/>
              </w:rPr>
            </w:pPr>
            <w:r>
              <w:rPr>
                <w:rFonts w:hint="eastAsia"/>
                <w:highlight w:val="none"/>
                <w:vertAlign w:val="baseline"/>
                <w:lang w:val="en-US" w:eastAsia="zh-CN"/>
              </w:rPr>
              <w:t>2</w:t>
            </w:r>
          </w:p>
        </w:tc>
        <w:tc>
          <w:tcPr>
            <w:tcW w:w="787" w:type="pct"/>
            <w:vMerge w:val="continue"/>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p>
        </w:tc>
        <w:tc>
          <w:tcPr>
            <w:tcW w:w="87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企业服务能力</w:t>
            </w:r>
          </w:p>
        </w:tc>
        <w:tc>
          <w:tcPr>
            <w:tcW w:w="1980" w:type="pct"/>
            <w:vAlign w:val="center"/>
          </w:tcPr>
          <w:p>
            <w:pPr>
              <w:widowControl w:val="0"/>
              <w:spacing w:beforeLines="0" w:after="0" w:afterLines="0" w:line="4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bidi="ar-SA"/>
              </w:rPr>
              <w:t>根据企业成立时间（</w:t>
            </w:r>
            <w:r>
              <w:rPr>
                <w:rFonts w:hint="eastAsia" w:ascii="仿宋_GB2312" w:hAnsi="仿宋_GB2312" w:eastAsia="仿宋_GB2312" w:cs="仿宋_GB2312"/>
                <w:bCs/>
                <w:color w:val="auto"/>
                <w:sz w:val="24"/>
                <w:szCs w:val="24"/>
                <w:highlight w:val="none"/>
                <w:lang w:eastAsia="zh-CN"/>
              </w:rPr>
              <w:t>须</w:t>
            </w:r>
            <w:r>
              <w:rPr>
                <w:rFonts w:hint="eastAsia" w:ascii="仿宋_GB2312" w:hAnsi="仿宋_GB2312" w:eastAsia="仿宋_GB2312" w:cs="仿宋_GB2312"/>
                <w:b w:val="0"/>
                <w:bCs/>
                <w:color w:val="auto"/>
                <w:sz w:val="24"/>
                <w:szCs w:val="24"/>
                <w:highlight w:val="none"/>
                <w:vertAlign w:val="baseline"/>
                <w:lang w:val="en-US" w:eastAsia="zh-CN" w:bidi="ar-SA"/>
              </w:rPr>
              <w:t>满2年）、企业管理服务能力、技术及产品实力、业务方向与申报类别的匹配程度进行判断。</w:t>
            </w:r>
          </w:p>
        </w:tc>
        <w:tc>
          <w:tcPr>
            <w:tcW w:w="927" w:type="pct"/>
            <w:vAlign w:val="center"/>
          </w:tcPr>
          <w:p>
            <w:pPr>
              <w:widowControl w:val="0"/>
              <w:spacing w:beforeLines="0" w:after="0" w:afterLines="0" w:line="400" w:lineRule="exact"/>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bidi="ar-SA"/>
              </w:rPr>
              <w:t>企业情况介绍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default"/>
                <w:highlight w:val="none"/>
                <w:vertAlign w:val="baseline"/>
                <w:lang w:val="en-US" w:eastAsia="zh-CN"/>
              </w:rPr>
            </w:pPr>
            <w:r>
              <w:rPr>
                <w:rFonts w:hint="eastAsia"/>
                <w:highlight w:val="none"/>
                <w:vertAlign w:val="baseline"/>
                <w:lang w:val="en-US" w:eastAsia="zh-CN"/>
              </w:rPr>
              <w:t>3</w:t>
            </w:r>
          </w:p>
        </w:tc>
        <w:tc>
          <w:tcPr>
            <w:tcW w:w="787" w:type="pct"/>
            <w:vMerge w:val="continue"/>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p>
        </w:tc>
        <w:tc>
          <w:tcPr>
            <w:tcW w:w="87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服务团队要求</w:t>
            </w:r>
          </w:p>
        </w:tc>
        <w:tc>
          <w:tcPr>
            <w:tcW w:w="198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Cs w:val="24"/>
                <w:highlight w:val="none"/>
                <w:lang w:val="en-US"/>
              </w:rPr>
              <w:t>依据团队成员工作年限、分工合理性，以及其从业经验与背景是否契合申报类别要求进行评判。</w:t>
            </w:r>
          </w:p>
        </w:tc>
        <w:tc>
          <w:tcPr>
            <w:tcW w:w="927"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团队成员简历及分工说明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default"/>
                <w:highlight w:val="none"/>
                <w:vertAlign w:val="baseline"/>
                <w:lang w:val="en-US" w:eastAsia="zh-CN"/>
              </w:rPr>
            </w:pPr>
            <w:r>
              <w:rPr>
                <w:rFonts w:hint="eastAsia"/>
                <w:highlight w:val="none"/>
                <w:vertAlign w:val="baseline"/>
                <w:lang w:val="en-US" w:eastAsia="zh-CN"/>
              </w:rPr>
              <w:t>4</w:t>
            </w:r>
          </w:p>
        </w:tc>
        <w:tc>
          <w:tcPr>
            <w:tcW w:w="787" w:type="pct"/>
            <w:vMerge w:val="continue"/>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p>
        </w:tc>
        <w:tc>
          <w:tcPr>
            <w:tcW w:w="87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服务方案</w:t>
            </w:r>
          </w:p>
        </w:tc>
        <w:tc>
          <w:tcPr>
            <w:tcW w:w="198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Cs w:val="24"/>
                <w:highlight w:val="none"/>
                <w:lang w:val="en-US"/>
              </w:rPr>
              <w:t>依据所提供的财政及单位端系统产品架构设计方案、典型应用案例展示、安全防护措施等方面的详实与准确程度。</w:t>
            </w:r>
          </w:p>
        </w:tc>
        <w:tc>
          <w:tcPr>
            <w:tcW w:w="927"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系统架构设计方案、典型应用案例展示、系统安全方案等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default"/>
                <w:highlight w:val="none"/>
                <w:vertAlign w:val="baseline"/>
                <w:lang w:val="en-US" w:eastAsia="zh-CN"/>
              </w:rPr>
            </w:pPr>
            <w:r>
              <w:rPr>
                <w:rFonts w:hint="eastAsia"/>
                <w:highlight w:val="none"/>
                <w:vertAlign w:val="baseline"/>
                <w:lang w:val="en-US" w:eastAsia="zh-CN"/>
              </w:rPr>
              <w:t>5</w:t>
            </w:r>
          </w:p>
        </w:tc>
        <w:tc>
          <w:tcPr>
            <w:tcW w:w="787" w:type="pct"/>
            <w:vMerge w:val="restar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r>
              <w:rPr>
                <w:rFonts w:hint="default" w:ascii="仿宋_GB2312" w:hAnsi="仿宋_GB2312" w:eastAsia="仿宋_GB2312" w:cs="仿宋_GB2312"/>
                <w:b/>
                <w:bCs w:val="0"/>
                <w:color w:val="auto"/>
                <w:sz w:val="24"/>
                <w:szCs w:val="24"/>
                <w:highlight w:val="none"/>
                <w:vertAlign w:val="baseline"/>
                <w:lang w:val="en-US" w:eastAsia="zh-CN"/>
              </w:rPr>
              <w:t>软件运维服务类</w:t>
            </w:r>
          </w:p>
        </w:tc>
        <w:tc>
          <w:tcPr>
            <w:tcW w:w="87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企业综合实力</w:t>
            </w:r>
          </w:p>
        </w:tc>
        <w:tc>
          <w:tcPr>
            <w:tcW w:w="1980" w:type="pct"/>
            <w:vAlign w:val="center"/>
          </w:tcPr>
          <w:p>
            <w:pPr>
              <w:widowControl w:val="0"/>
              <w:spacing w:beforeLines="0" w:after="0" w:afterLines="0" w:line="400" w:lineRule="exact"/>
              <w:ind w:firstLine="480" w:firstLineChars="200"/>
              <w:jc w:val="center"/>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根据企业提供的软件著作权登记证书、资质证书进行判断</w:t>
            </w:r>
          </w:p>
        </w:tc>
        <w:tc>
          <w:tcPr>
            <w:tcW w:w="927" w:type="pct"/>
            <w:vAlign w:val="center"/>
          </w:tcPr>
          <w:p>
            <w:pPr>
              <w:widowControl w:val="0"/>
              <w:spacing w:beforeLines="0" w:after="0" w:afterLines="0" w:line="400" w:lineRule="exact"/>
              <w:ind w:left="0" w:leftChars="0" w:firstLine="0" w:firstLineChars="0"/>
              <w:jc w:val="center"/>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default"/>
                <w:highlight w:val="none"/>
                <w:vertAlign w:val="baseline"/>
                <w:lang w:val="en-US" w:eastAsia="zh-CN"/>
              </w:rPr>
            </w:pPr>
            <w:r>
              <w:rPr>
                <w:rFonts w:hint="eastAsia"/>
                <w:highlight w:val="none"/>
                <w:vertAlign w:val="baseline"/>
                <w:lang w:val="en-US" w:eastAsia="zh-CN"/>
              </w:rPr>
              <w:t>6</w:t>
            </w:r>
          </w:p>
        </w:tc>
        <w:tc>
          <w:tcPr>
            <w:tcW w:w="787" w:type="pct"/>
            <w:vMerge w:val="continue"/>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p>
        </w:tc>
        <w:tc>
          <w:tcPr>
            <w:tcW w:w="87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企业服务能力</w:t>
            </w:r>
          </w:p>
        </w:tc>
        <w:tc>
          <w:tcPr>
            <w:tcW w:w="1980" w:type="pct"/>
            <w:vAlign w:val="center"/>
          </w:tcPr>
          <w:p>
            <w:pPr>
              <w:widowControl w:val="0"/>
              <w:spacing w:beforeLines="0" w:after="0" w:afterLines="0" w:line="400" w:lineRule="exact"/>
              <w:ind w:firstLine="0" w:firstLineChars="0"/>
              <w:jc w:val="center"/>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bCs/>
                <w:color w:val="auto"/>
                <w:sz w:val="24"/>
                <w:szCs w:val="24"/>
                <w:highlight w:val="none"/>
                <w:lang w:eastAsia="zh-CN"/>
              </w:rPr>
              <w:t>依据企业成立时间（须满2年）、运维服务管理体系完备性、服务流程规范性，以及业务专注度与申报类别的匹配程度进行评判</w:t>
            </w:r>
            <w:r>
              <w:rPr>
                <w:rFonts w:hint="eastAsia" w:ascii="仿宋_GB2312" w:hAnsi="仿宋_GB2312" w:eastAsia="仿宋_GB2312" w:cs="仿宋_GB2312"/>
                <w:b w:val="0"/>
                <w:bCs/>
                <w:color w:val="auto"/>
                <w:sz w:val="24"/>
                <w:szCs w:val="24"/>
                <w:highlight w:val="none"/>
                <w:vertAlign w:val="baseline"/>
                <w:lang w:val="en-US" w:eastAsia="zh-CN" w:bidi="ar-SA"/>
              </w:rPr>
              <w:t>。</w:t>
            </w:r>
          </w:p>
        </w:tc>
        <w:tc>
          <w:tcPr>
            <w:tcW w:w="927" w:type="pct"/>
            <w:vAlign w:val="center"/>
          </w:tcPr>
          <w:p>
            <w:pPr>
              <w:widowControl w:val="0"/>
              <w:spacing w:beforeLines="0" w:after="0" w:afterLines="0" w:line="400" w:lineRule="exact"/>
              <w:ind w:left="0" w:leftChars="0" w:firstLine="0" w:firstLineChars="0"/>
              <w:jc w:val="center"/>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企业情况介绍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default"/>
                <w:highlight w:val="none"/>
                <w:vertAlign w:val="baseline"/>
                <w:lang w:val="en-US" w:eastAsia="zh-CN"/>
              </w:rPr>
            </w:pPr>
            <w:r>
              <w:rPr>
                <w:rFonts w:hint="eastAsia"/>
                <w:highlight w:val="none"/>
                <w:vertAlign w:val="baseline"/>
                <w:lang w:val="en-US" w:eastAsia="zh-CN"/>
              </w:rPr>
              <w:t>7</w:t>
            </w:r>
          </w:p>
        </w:tc>
        <w:tc>
          <w:tcPr>
            <w:tcW w:w="787" w:type="pct"/>
            <w:vMerge w:val="continue"/>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p>
        </w:tc>
        <w:tc>
          <w:tcPr>
            <w:tcW w:w="87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服务团队要求</w:t>
            </w:r>
          </w:p>
        </w:tc>
        <w:tc>
          <w:tcPr>
            <w:tcW w:w="198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Cs w:val="24"/>
                <w:highlight w:val="none"/>
                <w:lang w:val="en-US"/>
              </w:rPr>
              <w:t>依据当地服务团队架构、成员工作年限与分工合理性，以及其经验背景是否契合申报类别要求进行评判。</w:t>
            </w:r>
          </w:p>
        </w:tc>
        <w:tc>
          <w:tcPr>
            <w:tcW w:w="927"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当地服务团队架构、团队成员简历及分工说明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default"/>
                <w:highlight w:val="none"/>
                <w:vertAlign w:val="baseline"/>
                <w:lang w:val="en-US" w:eastAsia="zh-CN"/>
              </w:rPr>
            </w:pPr>
            <w:r>
              <w:rPr>
                <w:rFonts w:hint="eastAsia"/>
                <w:highlight w:val="none"/>
                <w:vertAlign w:val="baseline"/>
                <w:lang w:val="en-US" w:eastAsia="zh-CN"/>
              </w:rPr>
              <w:t>8</w:t>
            </w:r>
          </w:p>
        </w:tc>
        <w:tc>
          <w:tcPr>
            <w:tcW w:w="787" w:type="pct"/>
            <w:vMerge w:val="continue"/>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p>
        </w:tc>
        <w:tc>
          <w:tcPr>
            <w:tcW w:w="87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服务方案</w:t>
            </w:r>
          </w:p>
        </w:tc>
        <w:tc>
          <w:tcPr>
            <w:tcW w:w="198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Cs w:val="24"/>
                <w:highlight w:val="none"/>
                <w:lang w:val="en-US"/>
              </w:rPr>
              <w:t>依据所提供的组织实施运维方案、质量保障方案及应急响应流程的详实与准确程度进行评判。</w:t>
            </w:r>
          </w:p>
        </w:tc>
        <w:tc>
          <w:tcPr>
            <w:tcW w:w="927"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系统实施运维方案、质量保障方案、应急响应方案等</w:t>
            </w:r>
          </w:p>
        </w:tc>
      </w:tr>
    </w:tbl>
    <w:p>
      <w:pPr>
        <w:widowControl w:val="0"/>
        <w:numPr>
          <w:ilvl w:val="0"/>
          <w:numId w:val="0"/>
        </w:numPr>
        <w:tabs>
          <w:tab w:val="left" w:pos="142"/>
        </w:tabs>
        <w:spacing w:beforeLines="0" w:after="0" w:afterLines="0" w:line="578" w:lineRule="exact"/>
        <w:ind w:firstLine="640"/>
        <w:jc w:val="both"/>
        <w:rPr>
          <w:rFonts w:hint="eastAsia" w:ascii="楷体" w:hAnsi="楷体" w:eastAsia="楷体" w:cs="楷体"/>
          <w:b w:val="0"/>
          <w:bCs w:val="0"/>
          <w:sz w:val="32"/>
          <w:szCs w:val="32"/>
          <w:highlight w:val="none"/>
          <w:lang w:val="en-US" w:eastAsia="zh-CN" w:bidi="ar-SA"/>
        </w:rPr>
      </w:pPr>
      <w:r>
        <w:rPr>
          <w:rFonts w:hint="eastAsia" w:ascii="楷体" w:hAnsi="楷体" w:eastAsia="楷体" w:cs="楷体"/>
          <w:b w:val="0"/>
          <w:bCs w:val="0"/>
          <w:sz w:val="32"/>
          <w:szCs w:val="32"/>
          <w:highlight w:val="none"/>
          <w:lang w:eastAsia="zh-CN" w:bidi="ar-SA"/>
        </w:rPr>
        <w:t>（二）业绩证明评分</w:t>
      </w:r>
      <w:r>
        <w:rPr>
          <w:rFonts w:hint="eastAsia" w:ascii="楷体" w:hAnsi="楷体" w:eastAsia="楷体" w:cs="楷体"/>
          <w:b w:val="0"/>
          <w:bCs w:val="0"/>
          <w:sz w:val="32"/>
          <w:szCs w:val="32"/>
          <w:highlight w:val="none"/>
          <w:lang w:val="en-US" w:eastAsia="zh-CN" w:bidi="ar-SA"/>
        </w:rPr>
        <w:t>内容</w:t>
      </w:r>
    </w:p>
    <w:p>
      <w:pPr>
        <w:widowControl w:val="0"/>
        <w:tabs>
          <w:tab w:val="left" w:pos="142"/>
        </w:tabs>
        <w:spacing w:beforeLines="0" w:after="0" w:afterLines="0" w:line="578" w:lineRule="exact"/>
        <w:ind w:firstLine="640"/>
        <w:jc w:val="both"/>
        <w:rPr>
          <w:rFonts w:hint="eastAsia" w:ascii="仿宋_GB2312" w:hAnsi="宋体" w:eastAsia="仿宋_GB2312" w:cs="仿宋"/>
          <w:b w:val="0"/>
          <w:bCs w:val="0"/>
          <w:sz w:val="32"/>
          <w:szCs w:val="32"/>
          <w:highlight w:val="none"/>
          <w:vertAlign w:val="baseline"/>
          <w:lang w:val="en-US" w:eastAsia="zh-CN" w:bidi="ar-SA"/>
        </w:rPr>
      </w:pPr>
      <w:r>
        <w:rPr>
          <w:rFonts w:hint="eastAsia" w:ascii="仿宋_GB2312" w:hAnsi="宋体" w:eastAsia="仿宋_GB2312" w:cs="仿宋"/>
          <w:b w:val="0"/>
          <w:bCs w:val="0"/>
          <w:sz w:val="32"/>
          <w:szCs w:val="32"/>
          <w:highlight w:val="none"/>
          <w:vertAlign w:val="baseline"/>
          <w:lang w:val="en-US" w:eastAsia="zh-CN" w:bidi="ar-SA"/>
        </w:rPr>
        <w:t>申请人根据申报类别提供相应证明材料，业绩证明提交规则如下：</w:t>
      </w:r>
    </w:p>
    <w:p>
      <w:pPr>
        <w:widowControl w:val="0"/>
        <w:numPr>
          <w:ilvl w:val="0"/>
          <w:numId w:val="0"/>
        </w:numPr>
        <w:tabs>
          <w:tab w:val="left" w:pos="142"/>
        </w:tabs>
        <w:spacing w:beforeLines="0" w:after="0" w:afterLines="0" w:line="578" w:lineRule="exact"/>
        <w:ind w:firstLine="640"/>
        <w:jc w:val="both"/>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1.业绩证明材料包括合同关键页扫描件（含项目名称、服务内容、签字盖章页）。</w:t>
      </w:r>
    </w:p>
    <w:p>
      <w:pPr>
        <w:widowControl w:val="0"/>
        <w:numPr>
          <w:ilvl w:val="0"/>
          <w:numId w:val="0"/>
        </w:numPr>
        <w:tabs>
          <w:tab w:val="left" w:pos="142"/>
        </w:tabs>
        <w:spacing w:beforeLines="0" w:after="0" w:afterLines="0" w:line="578" w:lineRule="exact"/>
        <w:ind w:firstLine="640"/>
        <w:jc w:val="both"/>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2.申请人应遵守各分类下的业绩证明数量规定。若提交业绩证明数量超出上限的，将按照评审</w:t>
      </w:r>
      <w:r>
        <w:rPr>
          <w:rFonts w:hint="default" w:ascii="仿宋_GB2312" w:hAnsi="宋体" w:eastAsia="仿宋_GB2312"/>
          <w:highlight w:val="none"/>
          <w:lang w:val="en-US" w:eastAsia="zh-CN"/>
        </w:rPr>
        <w:t>得分</w:t>
      </w:r>
      <w:r>
        <w:rPr>
          <w:rFonts w:hint="eastAsia" w:ascii="仿宋_GB2312" w:hAnsi="宋体" w:eastAsia="仿宋_GB2312"/>
          <w:highlight w:val="none"/>
          <w:lang w:val="en-US" w:eastAsia="zh-CN"/>
        </w:rPr>
        <w:t>由低到高的顺序依次确定最终纳入评审的业绩证明。</w:t>
      </w:r>
    </w:p>
    <w:p>
      <w:pPr>
        <w:spacing w:beforeLines="0" w:after="0" w:afterLines="0" w:line="578" w:lineRule="exact"/>
        <w:rPr>
          <w:highlight w:val="none"/>
        </w:rPr>
      </w:pPr>
      <w:r>
        <w:rPr>
          <w:rFonts w:hint="eastAsia" w:ascii="仿宋_GB2312" w:hAnsi="宋体" w:eastAsia="仿宋_GB2312"/>
          <w:highlight w:val="none"/>
          <w:lang w:val="en-US" w:eastAsia="zh-CN"/>
        </w:rPr>
        <w:t>3.各类别须提交的业绩证明类型及数量规定见下表。</w:t>
      </w:r>
      <w:r>
        <w:rPr>
          <w:rFonts w:hint="eastAsia" w:ascii="仿宋_GB2312" w:hAnsi="宋体" w:eastAsia="仿宋_GB2312" w:cs="仿宋"/>
          <w:b w:val="0"/>
          <w:bCs w:val="0"/>
          <w:sz w:val="32"/>
          <w:szCs w:val="32"/>
          <w:highlight w:val="none"/>
          <w:vertAlign w:val="baseline"/>
          <w:lang w:val="en-US" w:eastAsia="zh-CN"/>
        </w:rPr>
        <w:t>为减轻申请人负担，请挑选主要业绩进行提交，并按照重要与关联程度对所提交业绩排序，原则上仅以前5项业绩作为评审依据，其余业绩（如有）仅作参考。</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482"/>
        <w:gridCol w:w="4431"/>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序号</w:t>
            </w:r>
          </w:p>
        </w:tc>
        <w:tc>
          <w:tcPr>
            <w:tcW w:w="87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bidi="ar-SA"/>
              </w:rPr>
              <w:t>申报类别</w:t>
            </w:r>
          </w:p>
        </w:tc>
        <w:tc>
          <w:tcPr>
            <w:tcW w:w="260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业绩要求</w:t>
            </w:r>
          </w:p>
        </w:tc>
        <w:tc>
          <w:tcPr>
            <w:tcW w:w="1087"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bidi="ar-SA"/>
              </w:rPr>
              <w:t>数量规定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default"/>
                <w:highlight w:val="none"/>
                <w:vertAlign w:val="baseline"/>
                <w:lang w:val="en-US" w:eastAsia="zh-CN"/>
              </w:rPr>
            </w:pPr>
            <w:r>
              <w:rPr>
                <w:rFonts w:hint="eastAsia"/>
                <w:highlight w:val="none"/>
                <w:vertAlign w:val="baseline"/>
                <w:lang w:val="en-US" w:eastAsia="zh-CN"/>
              </w:rPr>
              <w:t>1</w:t>
            </w:r>
          </w:p>
        </w:tc>
        <w:tc>
          <w:tcPr>
            <w:tcW w:w="87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default" w:ascii="仿宋_GB2312" w:hAnsi="仿宋_GB2312" w:eastAsia="仿宋_GB2312" w:cs="仿宋_GB2312"/>
                <w:b/>
                <w:bCs w:val="0"/>
                <w:color w:val="auto"/>
                <w:sz w:val="24"/>
                <w:szCs w:val="24"/>
                <w:highlight w:val="none"/>
                <w:vertAlign w:val="baseline"/>
                <w:lang w:val="en-US" w:eastAsia="zh-CN" w:bidi="ar-SA"/>
              </w:rPr>
              <w:t>软件产品服务类</w:t>
            </w:r>
          </w:p>
        </w:tc>
        <w:tc>
          <w:tcPr>
            <w:tcW w:w="2601" w:type="pct"/>
            <w:vAlign w:val="center"/>
          </w:tcPr>
          <w:p>
            <w:pPr>
              <w:widowControl w:val="0"/>
              <w:spacing w:beforeLines="0" w:after="0" w:afterLines="0" w:line="4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bidi="ar-SA"/>
              </w:rPr>
              <w:t>自2022年1月1日起至今预算管理一体化系统或与财政相关的单位端系统开发或实施类业绩合同关键页。</w:t>
            </w:r>
          </w:p>
        </w:tc>
        <w:tc>
          <w:tcPr>
            <w:tcW w:w="1087" w:type="pct"/>
            <w:vAlign w:val="center"/>
          </w:tcPr>
          <w:p>
            <w:pPr>
              <w:widowControl w:val="0"/>
              <w:spacing w:beforeLines="0" w:after="0" w:afterLines="0" w:line="578" w:lineRule="exact"/>
              <w:ind w:left="0" w:leftChars="0" w:firstLine="0" w:firstLineChars="0"/>
              <w:jc w:val="center"/>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5份类似业绩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default"/>
                <w:highlight w:val="none"/>
                <w:vertAlign w:val="baseline"/>
                <w:lang w:val="en-US" w:eastAsia="zh-CN"/>
              </w:rPr>
            </w:pPr>
            <w:r>
              <w:rPr>
                <w:rFonts w:hint="eastAsia"/>
                <w:highlight w:val="none"/>
                <w:vertAlign w:val="baseline"/>
                <w:lang w:val="en-US" w:eastAsia="zh-CN"/>
              </w:rPr>
              <w:t>2</w:t>
            </w:r>
          </w:p>
        </w:tc>
        <w:tc>
          <w:tcPr>
            <w:tcW w:w="87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rPr>
            </w:pPr>
            <w:r>
              <w:rPr>
                <w:rFonts w:hint="default" w:ascii="仿宋_GB2312" w:hAnsi="仿宋_GB2312" w:eastAsia="仿宋_GB2312" w:cs="仿宋_GB2312"/>
                <w:b/>
                <w:bCs w:val="0"/>
                <w:color w:val="auto"/>
                <w:sz w:val="24"/>
                <w:szCs w:val="24"/>
                <w:highlight w:val="none"/>
                <w:vertAlign w:val="baseline"/>
                <w:lang w:val="en-US" w:eastAsia="zh-CN"/>
              </w:rPr>
              <w:t>软件运维服务类</w:t>
            </w:r>
          </w:p>
        </w:tc>
        <w:tc>
          <w:tcPr>
            <w:tcW w:w="260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1.自2022年1月1日起至今各省市县财政系统或者与财政系统相关的单位端系统运维业绩合同关键页；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bidi="ar-SA"/>
              </w:rPr>
              <w:t>2.各合作省份本地化服务网点证明（如租赁合同、办公场所照片）。</w:t>
            </w:r>
          </w:p>
        </w:tc>
        <w:tc>
          <w:tcPr>
            <w:tcW w:w="1087" w:type="pct"/>
            <w:vAlign w:val="center"/>
          </w:tcPr>
          <w:p>
            <w:pPr>
              <w:pStyle w:val="2"/>
              <w:widowControl w:val="0"/>
              <w:numPr>
                <w:ilvl w:val="0"/>
                <w:numId w:val="0"/>
              </w:numPr>
              <w:spacing w:before="0" w:beforeLines="0" w:after="0" w:afterLines="0" w:line="578" w:lineRule="exact"/>
              <w:ind w:firstLine="0" w:firstLineChars="0"/>
              <w:contextualSpacing/>
              <w:jc w:val="center"/>
              <w:outlineLvl w:val="1"/>
              <w:rPr>
                <w:rFonts w:hint="default"/>
                <w:highlight w:val="none"/>
                <w:lang w:val="en-US" w:eastAsia="zh-CN"/>
              </w:rPr>
            </w:pPr>
            <w:r>
              <w:rPr>
                <w:rFonts w:hint="eastAsia" w:ascii="仿宋_GB2312" w:hAnsi="仿宋_GB2312" w:eastAsia="仿宋_GB2312" w:cs="仿宋_GB2312"/>
                <w:b w:val="0"/>
                <w:bCs/>
                <w:color w:val="auto"/>
                <w:szCs w:val="24"/>
                <w:highlight w:val="none"/>
                <w:lang w:val="en-US" w:eastAsia="zh-CN"/>
              </w:rPr>
              <w:t>5份类似业绩</w:t>
            </w:r>
          </w:p>
        </w:tc>
      </w:tr>
    </w:tbl>
    <w:p>
      <w:pPr>
        <w:widowControl w:val="0"/>
        <w:numPr>
          <w:ilvl w:val="0"/>
          <w:numId w:val="0"/>
        </w:numPr>
        <w:tabs>
          <w:tab w:val="left" w:pos="142"/>
        </w:tabs>
        <w:spacing w:beforeLines="0" w:after="0" w:afterLines="0" w:line="578" w:lineRule="exact"/>
        <w:ind w:firstLine="640"/>
        <w:jc w:val="both"/>
        <w:rPr>
          <w:rFonts w:hint="eastAsia" w:ascii="楷体" w:hAnsi="楷体" w:eastAsia="楷体" w:cs="楷体"/>
          <w:b w:val="0"/>
          <w:bCs w:val="0"/>
          <w:sz w:val="32"/>
          <w:szCs w:val="32"/>
          <w:highlight w:val="none"/>
          <w:lang w:val="en-US" w:eastAsia="zh-CN" w:bidi="ar-SA"/>
        </w:rPr>
      </w:pPr>
      <w:r>
        <w:rPr>
          <w:rFonts w:hint="eastAsia" w:ascii="楷体" w:hAnsi="楷体" w:eastAsia="楷体" w:cs="楷体"/>
          <w:b w:val="0"/>
          <w:bCs w:val="0"/>
          <w:sz w:val="32"/>
          <w:szCs w:val="32"/>
          <w:highlight w:val="none"/>
          <w:lang w:eastAsia="zh-CN" w:bidi="ar-SA"/>
        </w:rPr>
        <w:t>（</w:t>
      </w:r>
      <w:r>
        <w:rPr>
          <w:rFonts w:hint="eastAsia" w:ascii="楷体" w:hAnsi="楷体" w:eastAsia="楷体" w:cs="楷体"/>
          <w:b w:val="0"/>
          <w:bCs w:val="0"/>
          <w:sz w:val="32"/>
          <w:szCs w:val="32"/>
          <w:highlight w:val="none"/>
          <w:lang w:val="en-US" w:eastAsia="zh-CN" w:bidi="ar-SA"/>
        </w:rPr>
        <w:t>三</w:t>
      </w:r>
      <w:r>
        <w:rPr>
          <w:rFonts w:hint="eastAsia" w:ascii="楷体" w:hAnsi="楷体" w:eastAsia="楷体" w:cs="楷体"/>
          <w:b w:val="0"/>
          <w:bCs w:val="0"/>
          <w:sz w:val="32"/>
          <w:szCs w:val="32"/>
          <w:highlight w:val="none"/>
          <w:lang w:eastAsia="zh-CN" w:bidi="ar-SA"/>
        </w:rPr>
        <w:t>）</w:t>
      </w:r>
      <w:r>
        <w:rPr>
          <w:rFonts w:hint="eastAsia" w:ascii="楷体" w:hAnsi="楷体" w:eastAsia="楷体" w:cs="楷体"/>
          <w:b w:val="0"/>
          <w:bCs w:val="0"/>
          <w:sz w:val="32"/>
          <w:szCs w:val="32"/>
          <w:highlight w:val="none"/>
          <w:lang w:val="en-US" w:eastAsia="zh-CN" w:bidi="ar-SA"/>
        </w:rPr>
        <w:t>其他要求</w:t>
      </w:r>
    </w:p>
    <w:p>
      <w:pPr>
        <w:pStyle w:val="15"/>
        <w:spacing w:beforeLines="0" w:afterLines="0" w:line="578" w:lineRule="exact"/>
        <w:ind w:firstLine="640" w:firstLineChars="200"/>
        <w:rPr>
          <w:rFonts w:hint="eastAsia" w:ascii="仿宋_GB2312" w:hAnsi="宋体" w:eastAsia="仿宋_GB2312" w:cs="仿宋"/>
          <w:sz w:val="32"/>
          <w:szCs w:val="32"/>
          <w:highlight w:val="none"/>
          <w:lang w:eastAsia="zh-CN" w:bidi="ar-SA"/>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对初审合格的供应商进行实地考察或者远程技术演示评估，重点考察产品服务供应商单位端系统实际运行效果，运维服务供应商服务团队实战能力。</w:t>
      </w:r>
    </w:p>
    <w:p>
      <w:pPr>
        <w:pStyle w:val="3"/>
        <w:spacing w:beforeLines="0" w:after="0" w:afterLines="0" w:line="578" w:lineRule="exact"/>
        <w:rPr>
          <w:rFonts w:ascii="黑体" w:hAnsi="黑体" w:eastAsia="黑体"/>
          <w:b w:val="0"/>
          <w:bCs w:val="0"/>
          <w:sz w:val="32"/>
          <w:szCs w:val="32"/>
          <w:highlight w:val="none"/>
        </w:rPr>
      </w:pPr>
      <w:r>
        <w:rPr>
          <w:rFonts w:hint="eastAsia" w:ascii="黑体" w:hAnsi="黑体" w:eastAsia="黑体"/>
          <w:b w:val="0"/>
          <w:bCs w:val="0"/>
          <w:sz w:val="32"/>
          <w:szCs w:val="32"/>
          <w:highlight w:val="none"/>
        </w:rPr>
        <w:t>第三章 申请文件</w:t>
      </w:r>
    </w:p>
    <w:p>
      <w:pPr>
        <w:pStyle w:val="2"/>
        <w:numPr>
          <w:ilvl w:val="-1"/>
          <w:numId w:val="0"/>
        </w:numPr>
        <w:spacing w:before="0" w:beforeLines="0" w:after="0" w:afterLines="0" w:line="578" w:lineRule="exact"/>
        <w:ind w:left="567" w:firstLine="0" w:firstLineChars="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六、</w:t>
      </w:r>
      <w:r>
        <w:rPr>
          <w:rFonts w:hint="eastAsia" w:ascii="黑体" w:hAnsi="黑体" w:eastAsia="黑体"/>
          <w:b w:val="0"/>
          <w:bCs/>
          <w:color w:val="auto"/>
          <w:sz w:val="32"/>
          <w:szCs w:val="32"/>
          <w:highlight w:val="none"/>
        </w:rPr>
        <w:t>申请文件递交</w:t>
      </w:r>
    </w:p>
    <w:p>
      <w:pPr>
        <w:widowControl w:val="0"/>
        <w:numPr>
          <w:ilvl w:val="0"/>
          <w:numId w:val="0"/>
        </w:numPr>
        <w:tabs>
          <w:tab w:val="left" w:pos="142"/>
        </w:tabs>
        <w:spacing w:beforeLines="0" w:after="0" w:afterLines="0" w:line="578" w:lineRule="exact"/>
        <w:ind w:firstLine="640"/>
        <w:jc w:val="both"/>
        <w:rPr>
          <w:rFonts w:hint="eastAsia" w:ascii="楷体" w:hAnsi="楷体" w:eastAsia="楷体" w:cs="楷体"/>
          <w:b w:val="0"/>
          <w:bCs/>
          <w:sz w:val="32"/>
          <w:szCs w:val="32"/>
          <w:highlight w:val="none"/>
          <w:lang w:eastAsia="zh-CN" w:bidi="ar-SA"/>
        </w:rPr>
      </w:pPr>
      <w:r>
        <w:rPr>
          <w:rFonts w:hint="eastAsia" w:ascii="楷体" w:hAnsi="楷体" w:eastAsia="楷体" w:cs="楷体"/>
          <w:b w:val="0"/>
          <w:bCs/>
          <w:sz w:val="32"/>
          <w:szCs w:val="32"/>
          <w:highlight w:val="none"/>
          <w:lang w:eastAsia="zh-CN" w:bidi="ar-SA"/>
        </w:rPr>
        <w:t>（</w:t>
      </w:r>
      <w:r>
        <w:rPr>
          <w:rFonts w:hint="eastAsia" w:ascii="楷体" w:hAnsi="楷体" w:eastAsia="楷体" w:cs="楷体"/>
          <w:b w:val="0"/>
          <w:bCs/>
          <w:sz w:val="32"/>
          <w:szCs w:val="32"/>
          <w:highlight w:val="none"/>
          <w:lang w:val="en-US" w:eastAsia="zh-CN" w:bidi="ar-SA"/>
        </w:rPr>
        <w:t>一</w:t>
      </w:r>
      <w:r>
        <w:rPr>
          <w:rFonts w:hint="eastAsia" w:ascii="楷体" w:hAnsi="楷体" w:eastAsia="楷体" w:cs="楷体"/>
          <w:b w:val="0"/>
          <w:bCs/>
          <w:sz w:val="32"/>
          <w:szCs w:val="32"/>
          <w:highlight w:val="none"/>
          <w:lang w:eastAsia="zh-CN" w:bidi="ar-SA"/>
        </w:rPr>
        <w:t>）收件信息</w:t>
      </w:r>
    </w:p>
    <w:p>
      <w:pPr>
        <w:widowControl w:val="0"/>
        <w:tabs>
          <w:tab w:val="left" w:pos="142"/>
        </w:tabs>
        <w:spacing w:beforeLines="0" w:after="0" w:afterLines="0" w:line="578" w:lineRule="exact"/>
        <w:ind w:firstLine="640"/>
        <w:jc w:val="both"/>
        <w:rPr>
          <w:rFonts w:hint="eastAsia" w:ascii="仿宋" w:hAnsi="仿宋" w:eastAsia="仿宋_GB2312" w:cs="仿宋"/>
          <w:kern w:val="0"/>
          <w:sz w:val="32"/>
          <w:szCs w:val="32"/>
          <w:highlight w:val="none"/>
          <w:lang w:val="en-US" w:eastAsia="zh-CN" w:bidi="ar-SA"/>
        </w:rPr>
      </w:pPr>
      <w:r>
        <w:rPr>
          <w:rFonts w:hint="eastAsia" w:eastAsia="仿宋_GB2312"/>
          <w:highlight w:val="none"/>
          <w:lang w:eastAsia="zh-CN"/>
        </w:rPr>
        <w:t>收件地址：</w:t>
      </w:r>
      <w:r>
        <w:rPr>
          <w:rFonts w:hint="eastAsia" w:ascii="仿宋" w:hAnsi="仿宋" w:eastAsia="仿宋_GB2312" w:cs="仿宋"/>
          <w:kern w:val="0"/>
          <w:sz w:val="32"/>
          <w:szCs w:val="32"/>
          <w:highlight w:val="none"/>
          <w:lang w:val="en-US" w:eastAsia="zh-CN" w:bidi="ar-SA"/>
        </w:rPr>
        <w:t>海南省海口市龙华区滨海大道109-9号海航国际广场A座7层</w:t>
      </w:r>
    </w:p>
    <w:p>
      <w:pPr>
        <w:widowControl w:val="0"/>
        <w:tabs>
          <w:tab w:val="left" w:pos="142"/>
        </w:tabs>
        <w:spacing w:beforeLines="0" w:after="0" w:afterLines="0" w:line="578" w:lineRule="exact"/>
        <w:ind w:firstLine="640"/>
        <w:jc w:val="both"/>
        <w:rPr>
          <w:rFonts w:hint="default" w:eastAsia="仿宋_GB2312"/>
          <w:highlight w:val="none"/>
          <w:lang w:val="en-US" w:eastAsia="zh-CN"/>
        </w:rPr>
      </w:pPr>
      <w:r>
        <w:rPr>
          <w:rFonts w:hint="eastAsia" w:eastAsia="仿宋_GB2312"/>
          <w:highlight w:val="none"/>
          <w:lang w:eastAsia="zh-CN"/>
        </w:rPr>
        <w:t>收件人：</w:t>
      </w:r>
      <w:r>
        <w:rPr>
          <w:rFonts w:hint="eastAsia" w:eastAsia="仿宋_GB2312"/>
          <w:highlight w:val="none"/>
          <w:lang w:val="en-US" w:eastAsia="zh-CN"/>
        </w:rPr>
        <w:t>黄小姐</w:t>
      </w:r>
    </w:p>
    <w:p>
      <w:pPr>
        <w:widowControl w:val="0"/>
        <w:tabs>
          <w:tab w:val="left" w:pos="142"/>
        </w:tabs>
        <w:spacing w:beforeLines="0" w:after="0" w:afterLines="0" w:line="578" w:lineRule="exact"/>
        <w:ind w:firstLine="640"/>
        <w:jc w:val="both"/>
        <w:rPr>
          <w:rFonts w:hint="default" w:eastAsia="仿宋_GB2312"/>
          <w:highlight w:val="none"/>
          <w:lang w:val="en-US" w:eastAsia="zh-CN"/>
        </w:rPr>
      </w:pPr>
      <w:r>
        <w:rPr>
          <w:rFonts w:hint="eastAsia" w:eastAsia="仿宋_GB2312" w:cs="仿宋_GB2312"/>
          <w:highlight w:val="none"/>
          <w:lang w:eastAsia="zh-CN"/>
        </w:rPr>
        <w:t>联系电话：</w:t>
      </w:r>
      <w:r>
        <w:rPr>
          <w:rFonts w:hint="eastAsia" w:eastAsia="仿宋_GB2312" w:cs="仿宋_GB2312"/>
          <w:highlight w:val="none"/>
          <w:lang w:val="en-US" w:eastAsia="zh-CN"/>
        </w:rPr>
        <w:t>13976901662</w:t>
      </w:r>
    </w:p>
    <w:p>
      <w:pPr>
        <w:widowControl w:val="0"/>
        <w:numPr>
          <w:ilvl w:val="0"/>
          <w:numId w:val="0"/>
        </w:numPr>
        <w:tabs>
          <w:tab w:val="left" w:pos="142"/>
        </w:tabs>
        <w:spacing w:beforeLines="0" w:after="0" w:afterLines="0" w:line="578" w:lineRule="exact"/>
        <w:ind w:firstLine="640"/>
        <w:jc w:val="both"/>
        <w:rPr>
          <w:rFonts w:hint="eastAsia" w:ascii="楷体" w:hAnsi="楷体" w:eastAsia="楷体" w:cs="楷体"/>
          <w:b w:val="0"/>
          <w:bCs w:val="0"/>
          <w:sz w:val="32"/>
          <w:szCs w:val="32"/>
          <w:highlight w:val="none"/>
          <w:lang w:eastAsia="zh-CN" w:bidi="ar-SA"/>
        </w:rPr>
      </w:pPr>
      <w:r>
        <w:rPr>
          <w:rFonts w:hint="eastAsia" w:ascii="楷体" w:hAnsi="楷体" w:eastAsia="楷体" w:cs="楷体"/>
          <w:b w:val="0"/>
          <w:bCs w:val="0"/>
          <w:sz w:val="32"/>
          <w:szCs w:val="32"/>
          <w:highlight w:val="none"/>
          <w:lang w:eastAsia="zh-CN" w:bidi="ar-SA"/>
        </w:rPr>
        <w:t>（</w:t>
      </w:r>
      <w:r>
        <w:rPr>
          <w:rFonts w:hint="eastAsia" w:ascii="楷体" w:hAnsi="楷体" w:eastAsia="楷体" w:cs="楷体"/>
          <w:b w:val="0"/>
          <w:bCs w:val="0"/>
          <w:sz w:val="32"/>
          <w:szCs w:val="32"/>
          <w:highlight w:val="none"/>
          <w:lang w:val="en-US" w:eastAsia="zh-CN" w:bidi="ar-SA"/>
        </w:rPr>
        <w:t>二</w:t>
      </w:r>
      <w:r>
        <w:rPr>
          <w:rFonts w:hint="eastAsia" w:ascii="楷体" w:hAnsi="楷体" w:eastAsia="楷体" w:cs="楷体"/>
          <w:b w:val="0"/>
          <w:bCs w:val="0"/>
          <w:sz w:val="32"/>
          <w:szCs w:val="32"/>
          <w:highlight w:val="none"/>
          <w:lang w:eastAsia="zh-CN" w:bidi="ar-SA"/>
        </w:rPr>
        <w:t>）申请文件递交截止时间</w:t>
      </w:r>
    </w:p>
    <w:p>
      <w:pPr>
        <w:widowControl w:val="0"/>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申请文件应于2025年</w:t>
      </w:r>
      <w:r>
        <w:rPr>
          <w:rFonts w:hint="eastAsia" w:eastAsia="仿宋_GB2312"/>
          <w:highlight w:val="none"/>
          <w:lang w:val="en-US" w:eastAsia="zh-CN"/>
        </w:rPr>
        <w:t>12</w:t>
      </w:r>
      <w:r>
        <w:rPr>
          <w:rFonts w:hint="eastAsia" w:eastAsia="仿宋_GB2312"/>
          <w:highlight w:val="none"/>
          <w:lang w:eastAsia="zh-CN"/>
        </w:rPr>
        <w:t>月</w:t>
      </w:r>
      <w:r>
        <w:rPr>
          <w:rFonts w:hint="eastAsia" w:eastAsia="仿宋_GB2312"/>
          <w:highlight w:val="none"/>
          <w:lang w:val="en-US" w:eastAsia="zh-CN"/>
        </w:rPr>
        <w:t>10</w:t>
      </w:r>
      <w:r>
        <w:rPr>
          <w:rFonts w:hint="eastAsia" w:eastAsia="仿宋_GB2312"/>
          <w:highlight w:val="none"/>
          <w:lang w:eastAsia="zh-CN"/>
        </w:rPr>
        <w:t>日</w:t>
      </w:r>
      <w:r>
        <w:rPr>
          <w:rFonts w:hint="eastAsia" w:eastAsia="仿宋_GB2312"/>
          <w:highlight w:val="none"/>
          <w:lang w:val="en-US" w:eastAsia="zh-CN"/>
        </w:rPr>
        <w:t>9</w:t>
      </w:r>
      <w:r>
        <w:rPr>
          <w:rFonts w:hint="eastAsia" w:eastAsia="仿宋_GB2312"/>
          <w:highlight w:val="none"/>
          <w:lang w:eastAsia="zh-CN"/>
        </w:rPr>
        <w:t>:00前送达，逾期送达恕不接受。</w:t>
      </w:r>
    </w:p>
    <w:p>
      <w:pPr>
        <w:widowControl w:val="0"/>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送达时间以金财公司收到申请文件为准。</w:t>
      </w:r>
    </w:p>
    <w:p>
      <w:pPr>
        <w:pStyle w:val="2"/>
        <w:numPr>
          <w:ilvl w:val="-1"/>
          <w:numId w:val="0"/>
        </w:numPr>
        <w:spacing w:before="0" w:beforeLines="0" w:after="0" w:afterLines="0" w:line="578" w:lineRule="exact"/>
        <w:ind w:left="567" w:firstLine="0" w:firstLineChars="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七、</w:t>
      </w:r>
      <w:r>
        <w:rPr>
          <w:rFonts w:hint="eastAsia" w:ascii="黑体" w:hAnsi="黑体" w:eastAsia="黑体"/>
          <w:b w:val="0"/>
          <w:bCs/>
          <w:color w:val="auto"/>
          <w:sz w:val="32"/>
          <w:szCs w:val="32"/>
          <w:highlight w:val="none"/>
        </w:rPr>
        <w:t>申请文件编制要求</w:t>
      </w:r>
    </w:p>
    <w:p>
      <w:pPr>
        <w:widowControl w:val="0"/>
        <w:tabs>
          <w:tab w:val="left" w:pos="142"/>
        </w:tabs>
        <w:spacing w:beforeLines="0" w:after="0" w:afterLines="0" w:line="578" w:lineRule="exact"/>
        <w:ind w:firstLine="640"/>
        <w:jc w:val="both"/>
        <w:rPr>
          <w:rFonts w:eastAsia="仿宋_GB2312" w:cs="仿宋_GB2312"/>
          <w:highlight w:val="none"/>
          <w:lang w:eastAsia="zh-CN"/>
        </w:rPr>
      </w:pPr>
      <w:r>
        <w:rPr>
          <w:rFonts w:hint="eastAsia" w:eastAsia="仿宋_GB2312" w:cs="仿宋_GB2312"/>
          <w:highlight w:val="none"/>
          <w:lang w:eastAsia="zh-CN"/>
        </w:rPr>
        <w:t>申请人应按照附件1《申请文件模板》的要求编制申请文件，每份申请文件需单独成册，</w:t>
      </w:r>
      <w:r>
        <w:rPr>
          <w:rFonts w:hint="eastAsia" w:eastAsia="仿宋_GB2312" w:cs="仿宋_GB2312"/>
          <w:b/>
          <w:bCs/>
          <w:highlight w:val="none"/>
          <w:lang w:eastAsia="zh-CN"/>
        </w:rPr>
        <w:t>申请文件应双面打印</w:t>
      </w:r>
      <w:r>
        <w:rPr>
          <w:rFonts w:hint="eastAsia" w:eastAsia="仿宋_GB2312" w:cs="仿宋_GB2312"/>
          <w:highlight w:val="none"/>
          <w:lang w:eastAsia="zh-CN"/>
        </w:rPr>
        <w:t>。</w:t>
      </w:r>
    </w:p>
    <w:p>
      <w:pPr>
        <w:pStyle w:val="2"/>
        <w:numPr>
          <w:ilvl w:val="-1"/>
          <w:numId w:val="0"/>
        </w:numPr>
        <w:spacing w:before="0" w:beforeLines="0" w:after="0" w:afterLines="0" w:line="578" w:lineRule="exact"/>
        <w:ind w:left="567" w:firstLine="0" w:firstLineChars="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八、</w:t>
      </w:r>
      <w:r>
        <w:rPr>
          <w:rFonts w:hint="eastAsia" w:ascii="黑体" w:hAnsi="黑体" w:eastAsia="黑体"/>
          <w:b w:val="0"/>
          <w:bCs/>
          <w:color w:val="auto"/>
          <w:sz w:val="32"/>
          <w:szCs w:val="32"/>
          <w:highlight w:val="none"/>
        </w:rPr>
        <w:t>申请文件数量</w:t>
      </w:r>
    </w:p>
    <w:p>
      <w:pPr>
        <w:widowControl w:val="0"/>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申请文件应准备提交</w:t>
      </w:r>
      <w:r>
        <w:rPr>
          <w:rFonts w:hint="eastAsia" w:eastAsia="仿宋_GB2312"/>
          <w:highlight w:val="none"/>
          <w:lang w:val="en-US" w:eastAsia="zh-CN"/>
        </w:rPr>
        <w:t>正本</w:t>
      </w:r>
      <w:r>
        <w:rPr>
          <w:rFonts w:hint="eastAsia" w:eastAsia="仿宋_GB2312"/>
          <w:highlight w:val="none"/>
          <w:lang w:eastAsia="zh-CN"/>
        </w:rPr>
        <w:t>壹份、副本肆份，电子文档壹份（电子文档内容应与投标文件正本一致，推荐采用光盘或U盘为文件载体）</w:t>
      </w:r>
    </w:p>
    <w:p>
      <w:pPr>
        <w:widowControl w:val="0"/>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申请人应在申请文件封面注明“正本”或“副本”。正本和副本如有不一致之处，以正本为准。</w:t>
      </w:r>
    </w:p>
    <w:p>
      <w:pPr>
        <w:pStyle w:val="2"/>
        <w:numPr>
          <w:ilvl w:val="-1"/>
          <w:numId w:val="0"/>
        </w:numPr>
        <w:spacing w:before="0" w:beforeLines="0" w:after="0" w:afterLines="0" w:line="578" w:lineRule="exact"/>
        <w:ind w:left="567" w:firstLine="0" w:firstLineChars="0"/>
        <w:rPr>
          <w:rFonts w:ascii="黑体" w:hAnsi="黑体" w:eastAsia="黑体" w:cs="黑体"/>
          <w:b w:val="0"/>
          <w:bCs/>
          <w:sz w:val="32"/>
          <w:szCs w:val="32"/>
          <w:highlight w:val="none"/>
          <w:lang w:val="en-US"/>
        </w:rPr>
      </w:pPr>
      <w:r>
        <w:rPr>
          <w:rFonts w:hint="eastAsia" w:ascii="黑体" w:hAnsi="黑体" w:eastAsia="黑体"/>
          <w:b w:val="0"/>
          <w:bCs/>
          <w:color w:val="auto"/>
          <w:sz w:val="32"/>
          <w:szCs w:val="32"/>
          <w:highlight w:val="none"/>
          <w:lang w:val="en-US" w:eastAsia="zh-CN"/>
        </w:rPr>
        <w:t>九、</w:t>
      </w:r>
      <w:r>
        <w:rPr>
          <w:rFonts w:hint="eastAsia" w:ascii="黑体" w:hAnsi="黑体" w:eastAsia="黑体"/>
          <w:b w:val="0"/>
          <w:bCs/>
          <w:color w:val="auto"/>
          <w:sz w:val="32"/>
          <w:szCs w:val="32"/>
          <w:highlight w:val="none"/>
        </w:rPr>
        <w:t>申请文件签章、密封与标志要求</w:t>
      </w:r>
    </w:p>
    <w:p>
      <w:pPr>
        <w:widowControl w:val="0"/>
        <w:numPr>
          <w:ilvl w:val="0"/>
          <w:numId w:val="1"/>
        </w:numPr>
        <w:spacing w:beforeLines="0" w:after="0" w:afterLines="0" w:line="578" w:lineRule="exact"/>
        <w:ind w:firstLine="640"/>
        <w:rPr>
          <w:rFonts w:eastAsia="仿宋_GB2312" w:cs="仿宋_GB2312"/>
          <w:highlight w:val="none"/>
          <w:lang w:eastAsia="zh-CN"/>
        </w:rPr>
      </w:pPr>
      <w:r>
        <w:rPr>
          <w:rFonts w:hint="eastAsia" w:eastAsia="仿宋_GB2312"/>
          <w:highlight w:val="none"/>
          <w:lang w:eastAsia="zh-CN"/>
        </w:rPr>
        <w:t>所有申请文件必须装入密封完好的信封或包装，申请</w:t>
      </w:r>
      <w:r>
        <w:rPr>
          <w:rFonts w:hint="eastAsia" w:eastAsia="仿宋_GB2312" w:cs="仿宋_GB2312"/>
          <w:highlight w:val="none"/>
          <w:lang w:eastAsia="zh-CN"/>
        </w:rPr>
        <w:t>人应确保</w:t>
      </w:r>
      <w:r>
        <w:rPr>
          <w:rFonts w:hint="eastAsia" w:eastAsia="仿宋_GB2312"/>
          <w:highlight w:val="none"/>
          <w:lang w:eastAsia="zh-CN"/>
        </w:rPr>
        <w:t>申请文件</w:t>
      </w:r>
      <w:r>
        <w:rPr>
          <w:rFonts w:hint="eastAsia" w:eastAsia="仿宋_GB2312" w:cs="仿宋_GB2312"/>
          <w:highlight w:val="none"/>
          <w:lang w:eastAsia="zh-CN"/>
        </w:rPr>
        <w:t>外包装材料不留有可在包封后添加或抽取文件的空隙。</w:t>
      </w:r>
    </w:p>
    <w:p>
      <w:pPr>
        <w:widowControl w:val="0"/>
        <w:numPr>
          <w:ilvl w:val="0"/>
          <w:numId w:val="1"/>
        </w:numPr>
        <w:spacing w:beforeLines="0" w:after="0" w:afterLines="0" w:line="578" w:lineRule="exact"/>
        <w:ind w:firstLine="640"/>
        <w:rPr>
          <w:rFonts w:eastAsia="仿宋_GB2312"/>
          <w:highlight w:val="none"/>
          <w:lang w:eastAsia="zh-CN"/>
        </w:rPr>
      </w:pPr>
      <w:r>
        <w:rPr>
          <w:rFonts w:hint="eastAsia" w:eastAsia="仿宋_GB2312"/>
          <w:highlight w:val="none"/>
          <w:lang w:eastAsia="zh-CN"/>
        </w:rPr>
        <w:t>申请文件包装封面要求</w:t>
      </w:r>
    </w:p>
    <w:p>
      <w:pPr>
        <w:widowControl w:val="0"/>
        <w:spacing w:beforeLines="0" w:after="0" w:afterLines="0" w:line="578" w:lineRule="exact"/>
        <w:ind w:firstLine="640"/>
        <w:rPr>
          <w:rFonts w:cs="仿宋_GB2312"/>
          <w:highlight w:val="none"/>
          <w:lang w:eastAsia="zh-CN"/>
        </w:rPr>
      </w:pPr>
      <w:r>
        <w:rPr>
          <w:rFonts w:hint="eastAsia" w:eastAsia="仿宋_GB2312" w:cs="仿宋_GB2312"/>
          <w:highlight w:val="none"/>
          <w:lang w:eastAsia="zh-CN"/>
        </w:rPr>
        <w:t>申请人应在文件包装上标明以下信息：</w:t>
      </w:r>
    </w:p>
    <w:tbl>
      <w:tblPr>
        <w:tblStyle w:val="11"/>
        <w:tblW w:w="0" w:type="auto"/>
        <w:tblInd w:w="8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12" w:type="dxa"/>
            <w:tcBorders>
              <w:top w:val="single" w:color="auto" w:sz="4" w:space="0"/>
              <w:left w:val="single" w:color="auto" w:sz="4" w:space="0"/>
              <w:bottom w:val="single" w:color="auto" w:sz="4" w:space="0"/>
              <w:right w:val="single" w:color="auto" w:sz="4" w:space="0"/>
            </w:tcBorders>
          </w:tcPr>
          <w:p>
            <w:pPr>
              <w:widowControl w:val="0"/>
              <w:tabs>
                <w:tab w:val="left" w:pos="284"/>
              </w:tabs>
              <w:adjustRightInd w:val="0"/>
              <w:snapToGrid w:val="0"/>
              <w:spacing w:beforeLines="0" w:after="0" w:afterLines="0" w:line="578" w:lineRule="exact"/>
              <w:ind w:firstLine="640"/>
              <w:rPr>
                <w:rFonts w:eastAsia="仿宋_GB2312" w:cs="仿宋_GB2312"/>
                <w:highlight w:val="none"/>
                <w:lang w:eastAsia="zh-CN"/>
              </w:rPr>
            </w:pPr>
            <w:r>
              <w:rPr>
                <w:rFonts w:hint="eastAsia" w:eastAsia="仿宋_GB2312" w:cs="仿宋_GB2312"/>
                <w:highlight w:val="none"/>
                <w:lang w:eastAsia="zh-CN"/>
              </w:rPr>
              <w:t>项目名称：</w:t>
            </w:r>
            <w:r>
              <w:rPr>
                <w:rFonts w:hint="eastAsia" w:eastAsia="仿宋_GB2312" w:cs="仿宋_GB2312"/>
                <w:highlight w:val="none"/>
                <w:u w:val="single"/>
                <w:lang w:eastAsia="zh-CN"/>
              </w:rPr>
              <w:t>海南金财网络技术有限公司</w:t>
            </w:r>
            <w:r>
              <w:rPr>
                <w:rFonts w:eastAsia="仿宋_GB2312" w:cs="仿宋_GB2312"/>
                <w:highlight w:val="none"/>
                <w:u w:val="single"/>
                <w:lang w:eastAsia="zh-CN"/>
              </w:rPr>
              <w:t>软件服务</w:t>
            </w:r>
            <w:r>
              <w:rPr>
                <w:rFonts w:hint="eastAsia" w:eastAsia="仿宋_GB2312" w:cs="仿宋_GB2312"/>
                <w:highlight w:val="none"/>
                <w:u w:val="single"/>
                <w:lang w:eastAsia="zh-CN"/>
              </w:rPr>
              <w:t>供应商备选库入库</w:t>
            </w:r>
          </w:p>
          <w:p>
            <w:pPr>
              <w:widowControl w:val="0"/>
              <w:tabs>
                <w:tab w:val="left" w:pos="284"/>
              </w:tabs>
              <w:adjustRightInd w:val="0"/>
              <w:snapToGrid w:val="0"/>
              <w:spacing w:beforeLines="0" w:after="0" w:afterLines="0" w:line="578" w:lineRule="exact"/>
              <w:ind w:firstLine="640"/>
              <w:rPr>
                <w:rFonts w:eastAsia="仿宋_GB2312" w:cs="仿宋_GB2312"/>
                <w:highlight w:val="none"/>
                <w:lang w:eastAsia="zh-CN"/>
              </w:rPr>
            </w:pPr>
            <w:r>
              <w:rPr>
                <w:rFonts w:hint="eastAsia" w:eastAsia="仿宋_GB2312" w:cs="仿宋_GB2312"/>
                <w:highlight w:val="none"/>
                <w:lang w:eastAsia="zh-CN"/>
              </w:rPr>
              <w:t>申报类别：</w:t>
            </w:r>
            <w:r>
              <w:rPr>
                <w:rFonts w:hint="eastAsia" w:eastAsia="仿宋_GB2312" w:cs="仿宋_GB2312"/>
                <w:highlight w:val="none"/>
                <w:u w:val="single"/>
                <w:lang w:eastAsia="zh-CN"/>
              </w:rPr>
              <w:t xml:space="preserve">  </w:t>
            </w:r>
            <w:r>
              <w:rPr>
                <w:rFonts w:hint="eastAsia" w:eastAsia="仿宋_GB2312" w:cs="仿宋_GB2312"/>
                <w:highlight w:val="none"/>
                <w:u w:val="single"/>
                <w:lang w:val="en-US" w:eastAsia="zh-CN"/>
              </w:rPr>
              <w:t xml:space="preserve">              </w:t>
            </w:r>
            <w:r>
              <w:rPr>
                <w:rFonts w:hint="eastAsia" w:eastAsia="仿宋_GB2312" w:cs="仿宋_GB2312"/>
                <w:highlight w:val="none"/>
                <w:u w:val="single"/>
                <w:lang w:eastAsia="zh-CN"/>
              </w:rPr>
              <w:t xml:space="preserve">    </w:t>
            </w:r>
          </w:p>
          <w:p>
            <w:pPr>
              <w:widowControl w:val="0"/>
              <w:tabs>
                <w:tab w:val="left" w:pos="284"/>
              </w:tabs>
              <w:adjustRightInd w:val="0"/>
              <w:snapToGrid w:val="0"/>
              <w:spacing w:beforeLines="0" w:after="0" w:afterLines="0" w:line="578" w:lineRule="exact"/>
              <w:ind w:firstLine="640"/>
              <w:rPr>
                <w:rFonts w:eastAsia="仿宋_GB2312" w:cs="仿宋_GB2312"/>
                <w:highlight w:val="none"/>
                <w:lang w:eastAsia="zh-CN"/>
              </w:rPr>
            </w:pPr>
            <w:r>
              <w:rPr>
                <w:rFonts w:hint="eastAsia" w:eastAsia="仿宋_GB2312" w:cs="仿宋_GB2312"/>
                <w:highlight w:val="none"/>
                <w:lang w:eastAsia="zh-CN"/>
              </w:rPr>
              <w:t>申请人名称：</w:t>
            </w:r>
            <w:r>
              <w:rPr>
                <w:rFonts w:hint="eastAsia" w:eastAsia="仿宋_GB2312" w:cs="仿宋_GB2312"/>
                <w:highlight w:val="none"/>
                <w:u w:val="single"/>
                <w:lang w:eastAsia="zh-CN"/>
              </w:rPr>
              <w:t xml:space="preserve">                  </w:t>
            </w:r>
            <w:r>
              <w:rPr>
                <w:rFonts w:hint="eastAsia" w:eastAsia="仿宋_GB2312" w:cs="仿宋_GB2312"/>
                <w:highlight w:val="none"/>
                <w:lang w:eastAsia="zh-CN"/>
              </w:rPr>
              <w:t xml:space="preserve">            </w:t>
            </w:r>
          </w:p>
          <w:p>
            <w:pPr>
              <w:widowControl w:val="0"/>
              <w:tabs>
                <w:tab w:val="left" w:pos="284"/>
              </w:tabs>
              <w:adjustRightInd w:val="0"/>
              <w:snapToGrid w:val="0"/>
              <w:spacing w:beforeLines="0" w:after="0" w:afterLines="0" w:line="578" w:lineRule="exact"/>
              <w:ind w:firstLine="640"/>
              <w:rPr>
                <w:rFonts w:eastAsia="仿宋_GB2312" w:cs="仿宋_GB2312"/>
                <w:highlight w:val="none"/>
              </w:rPr>
            </w:pPr>
            <w:r>
              <w:rPr>
                <w:rFonts w:hint="eastAsia" w:eastAsia="仿宋_GB2312" w:cs="仿宋_GB2312"/>
                <w:highlight w:val="none"/>
              </w:rPr>
              <w:t>联系人：</w:t>
            </w:r>
            <w:r>
              <w:rPr>
                <w:rFonts w:hint="eastAsia" w:eastAsia="仿宋_GB2312" w:cs="仿宋_GB2312"/>
                <w:highlight w:val="none"/>
                <w:u w:val="single"/>
              </w:rPr>
              <w:t xml:space="preserve">         </w:t>
            </w:r>
            <w:r>
              <w:rPr>
                <w:rFonts w:hint="eastAsia" w:eastAsia="仿宋_GB2312" w:cs="仿宋_GB2312"/>
                <w:highlight w:val="none"/>
                <w:u w:val="single"/>
                <w:lang w:eastAsia="zh-CN"/>
              </w:rPr>
              <w:t xml:space="preserve">     </w:t>
            </w:r>
            <w:r>
              <w:rPr>
                <w:rFonts w:hint="eastAsia" w:eastAsia="仿宋_GB2312" w:cs="仿宋_GB2312"/>
                <w:highlight w:val="none"/>
                <w:u w:val="single"/>
              </w:rPr>
              <w:t xml:space="preserve">        </w:t>
            </w:r>
            <w:r>
              <w:rPr>
                <w:rFonts w:hint="eastAsia" w:eastAsia="仿宋_GB2312" w:cs="仿宋_GB2312"/>
                <w:highlight w:val="none"/>
              </w:rPr>
              <w:t xml:space="preserve">                  </w:t>
            </w:r>
          </w:p>
          <w:p>
            <w:pPr>
              <w:widowControl w:val="0"/>
              <w:tabs>
                <w:tab w:val="left" w:pos="284"/>
              </w:tabs>
              <w:adjustRightInd w:val="0"/>
              <w:snapToGrid w:val="0"/>
              <w:spacing w:beforeLines="0" w:after="0" w:afterLines="0" w:line="578" w:lineRule="exact"/>
              <w:ind w:firstLine="640"/>
              <w:rPr>
                <w:rFonts w:ascii="宋体" w:hAnsi="宋体"/>
                <w:sz w:val="24"/>
                <w:highlight w:val="none"/>
              </w:rPr>
            </w:pPr>
            <w:r>
              <w:rPr>
                <w:rFonts w:hint="eastAsia" w:eastAsia="仿宋_GB2312" w:cs="仿宋_GB2312"/>
                <w:highlight w:val="none"/>
              </w:rPr>
              <w:t xml:space="preserve">联系电话： </w:t>
            </w:r>
            <w:r>
              <w:rPr>
                <w:rFonts w:hint="eastAsia" w:eastAsia="仿宋_GB2312" w:cs="仿宋_GB2312"/>
                <w:highlight w:val="none"/>
                <w:u w:val="single"/>
              </w:rPr>
              <w:t xml:space="preserve">        </w:t>
            </w:r>
            <w:r>
              <w:rPr>
                <w:rFonts w:hint="eastAsia" w:eastAsia="仿宋_GB2312" w:cs="仿宋_GB2312"/>
                <w:highlight w:val="none"/>
                <w:u w:val="single"/>
                <w:lang w:eastAsia="zh-CN"/>
              </w:rPr>
              <w:t xml:space="preserve">    </w:t>
            </w:r>
            <w:r>
              <w:rPr>
                <w:rFonts w:hint="eastAsia" w:eastAsia="仿宋_GB2312" w:cs="仿宋_GB2312"/>
                <w:highlight w:val="none"/>
                <w:u w:val="single"/>
              </w:rPr>
              <w:t xml:space="preserve">         </w:t>
            </w:r>
            <w:r>
              <w:rPr>
                <w:rFonts w:hint="eastAsia" w:eastAsia="仿宋_GB2312" w:cs="仿宋_GB2312"/>
                <w:highlight w:val="none"/>
              </w:rPr>
              <w:t xml:space="preserve">   </w:t>
            </w:r>
            <w:r>
              <w:rPr>
                <w:rFonts w:hint="eastAsia" w:ascii="仿宋_GB2312" w:hAnsi="仿宋_GB2312" w:eastAsia="仿宋_GB2312" w:cs="仿宋_GB2312"/>
                <w:highlight w:val="none"/>
              </w:rPr>
              <w:t xml:space="preserve">                </w:t>
            </w:r>
          </w:p>
        </w:tc>
      </w:tr>
    </w:tbl>
    <w:p>
      <w:pPr>
        <w:pStyle w:val="2"/>
        <w:numPr>
          <w:ilvl w:val="-1"/>
          <w:numId w:val="0"/>
        </w:numPr>
        <w:spacing w:before="0" w:beforeLines="0" w:after="0" w:afterLines="0" w:line="578" w:lineRule="exact"/>
        <w:ind w:left="567" w:firstLine="0" w:firstLineChars="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十、</w:t>
      </w:r>
      <w:r>
        <w:rPr>
          <w:rFonts w:hint="eastAsia" w:ascii="黑体" w:hAnsi="黑体" w:eastAsia="黑体"/>
          <w:b w:val="0"/>
          <w:bCs/>
          <w:color w:val="auto"/>
          <w:sz w:val="32"/>
          <w:szCs w:val="32"/>
          <w:highlight w:val="none"/>
        </w:rPr>
        <w:t>申请文件的补充、修改、说明与撤回</w:t>
      </w:r>
    </w:p>
    <w:p>
      <w:pPr>
        <w:widowControl w:val="0"/>
        <w:numPr>
          <w:ilvl w:val="0"/>
          <w:numId w:val="2"/>
        </w:numPr>
        <w:spacing w:beforeLines="0" w:after="0" w:afterLines="0" w:line="578" w:lineRule="exact"/>
        <w:ind w:firstLine="640"/>
        <w:rPr>
          <w:rFonts w:eastAsia="仿宋_GB2312" w:cs="仿宋_GB2312"/>
          <w:highlight w:val="none"/>
          <w:lang w:eastAsia="zh-CN"/>
        </w:rPr>
      </w:pPr>
      <w:r>
        <w:rPr>
          <w:rFonts w:hint="eastAsia" w:eastAsia="仿宋_GB2312" w:cs="仿宋_GB2312"/>
          <w:highlight w:val="none"/>
          <w:lang w:eastAsia="zh-CN"/>
        </w:rPr>
        <w:t>申请人在递交申请文件以后，在规定的送达截止时间之前，应以书面形式递交补充、修改文件。补充、修改的内容为</w:t>
      </w:r>
      <w:r>
        <w:rPr>
          <w:rFonts w:hint="eastAsia" w:eastAsia="仿宋_GB2312"/>
          <w:highlight w:val="none"/>
          <w:lang w:eastAsia="zh-CN"/>
        </w:rPr>
        <w:t>申请文件</w:t>
      </w:r>
      <w:r>
        <w:rPr>
          <w:rFonts w:hint="eastAsia" w:eastAsia="仿宋_GB2312" w:cs="仿宋_GB2312"/>
          <w:highlight w:val="none"/>
          <w:lang w:eastAsia="zh-CN"/>
        </w:rPr>
        <w:t>的组成部分。申请人对</w:t>
      </w:r>
      <w:r>
        <w:rPr>
          <w:rFonts w:hint="eastAsia" w:eastAsia="仿宋_GB2312"/>
          <w:highlight w:val="none"/>
          <w:lang w:eastAsia="zh-CN"/>
        </w:rPr>
        <w:t>申请文件</w:t>
      </w:r>
      <w:r>
        <w:rPr>
          <w:rFonts w:hint="eastAsia" w:eastAsia="仿宋_GB2312" w:cs="仿宋_GB2312"/>
          <w:highlight w:val="none"/>
          <w:lang w:eastAsia="zh-CN"/>
        </w:rPr>
        <w:t>的补充、修改，应按前述规定进行密封和标志，并在</w:t>
      </w:r>
      <w:r>
        <w:rPr>
          <w:rFonts w:hint="eastAsia" w:eastAsia="仿宋_GB2312"/>
          <w:highlight w:val="none"/>
          <w:lang w:eastAsia="zh-CN"/>
        </w:rPr>
        <w:t>申请文件</w:t>
      </w:r>
      <w:r>
        <w:rPr>
          <w:rFonts w:hint="eastAsia" w:eastAsia="仿宋_GB2312" w:cs="仿宋_GB2312"/>
          <w:highlight w:val="none"/>
          <w:lang w:eastAsia="zh-CN"/>
        </w:rPr>
        <w:t>密封袋上清楚标明“补充、修改”字样。</w:t>
      </w:r>
    </w:p>
    <w:p>
      <w:pPr>
        <w:widowControl w:val="0"/>
        <w:numPr>
          <w:ilvl w:val="0"/>
          <w:numId w:val="2"/>
        </w:numPr>
        <w:spacing w:beforeLines="0" w:after="0" w:afterLines="0" w:line="578" w:lineRule="exact"/>
        <w:ind w:firstLine="640"/>
        <w:rPr>
          <w:rFonts w:eastAsia="仿宋_GB2312" w:cs="仿宋_GB2312"/>
          <w:highlight w:val="none"/>
          <w:lang w:eastAsia="zh-CN"/>
        </w:rPr>
      </w:pPr>
      <w:r>
        <w:rPr>
          <w:rFonts w:hint="eastAsia" w:eastAsia="仿宋_GB2312" w:cs="仿宋_GB2312"/>
          <w:highlight w:val="none"/>
          <w:lang w:eastAsia="zh-CN"/>
        </w:rPr>
        <w:t>评选小组认为</w:t>
      </w:r>
      <w:r>
        <w:rPr>
          <w:rFonts w:hint="eastAsia" w:eastAsia="仿宋_GB2312"/>
          <w:highlight w:val="none"/>
          <w:lang w:eastAsia="zh-CN"/>
        </w:rPr>
        <w:t>申请文件</w:t>
      </w:r>
      <w:r>
        <w:rPr>
          <w:rFonts w:hint="eastAsia" w:eastAsia="仿宋_GB2312" w:cs="仿宋_GB2312"/>
          <w:highlight w:val="none"/>
          <w:lang w:eastAsia="zh-CN"/>
        </w:rPr>
        <w:t>中有含义不明确的内容、明显文字错误或其他需要申请人说明的事项，有权要求申请人作出必要澄清、说明。经申请人书面澄清、说明的，以澄清、说明后的内容为准。</w:t>
      </w:r>
    </w:p>
    <w:p>
      <w:pPr>
        <w:widowControl w:val="0"/>
        <w:numPr>
          <w:ilvl w:val="0"/>
          <w:numId w:val="2"/>
        </w:numPr>
        <w:spacing w:beforeLines="0" w:after="0" w:afterLines="0" w:line="578" w:lineRule="exact"/>
        <w:ind w:firstLine="640"/>
        <w:rPr>
          <w:rFonts w:ascii="黑体" w:hAnsi="黑体" w:eastAsia="黑体"/>
          <w:b w:val="0"/>
          <w:bCs w:val="0"/>
          <w:sz w:val="32"/>
          <w:szCs w:val="32"/>
          <w:highlight w:val="none"/>
        </w:rPr>
      </w:pPr>
      <w:r>
        <w:rPr>
          <w:rFonts w:hint="eastAsia" w:eastAsia="仿宋_GB2312" w:cs="仿宋_GB2312"/>
          <w:highlight w:val="none"/>
          <w:lang w:eastAsia="zh-CN"/>
        </w:rPr>
        <w:t>申请人在递交</w:t>
      </w:r>
      <w:r>
        <w:rPr>
          <w:rFonts w:hint="eastAsia" w:eastAsia="仿宋_GB2312"/>
          <w:highlight w:val="none"/>
          <w:lang w:eastAsia="zh-CN"/>
        </w:rPr>
        <w:t>申请文件</w:t>
      </w:r>
      <w:r>
        <w:rPr>
          <w:rFonts w:hint="eastAsia" w:eastAsia="仿宋_GB2312" w:cs="仿宋_GB2312"/>
          <w:highlight w:val="none"/>
          <w:lang w:eastAsia="zh-CN"/>
        </w:rPr>
        <w:t>以后，在规定的</w:t>
      </w:r>
      <w:r>
        <w:rPr>
          <w:rFonts w:hint="eastAsia" w:eastAsia="仿宋_GB2312"/>
          <w:highlight w:val="none"/>
          <w:lang w:eastAsia="zh-CN"/>
        </w:rPr>
        <w:t>申请文件</w:t>
      </w:r>
      <w:r>
        <w:rPr>
          <w:rFonts w:hint="eastAsia" w:eastAsia="仿宋_GB2312" w:cs="仿宋_GB2312"/>
          <w:highlight w:val="none"/>
          <w:lang w:eastAsia="zh-CN"/>
        </w:rPr>
        <w:t>送达截止时间之前，可采用邮件等书面形式通知</w:t>
      </w:r>
      <w:r>
        <w:rPr>
          <w:rFonts w:hint="eastAsia" w:eastAsia="仿宋_GB2312"/>
          <w:highlight w:val="none"/>
          <w:lang w:eastAsia="zh-CN"/>
        </w:rPr>
        <w:t>海南财金集团</w:t>
      </w:r>
      <w:r>
        <w:rPr>
          <w:rFonts w:hint="eastAsia" w:eastAsia="仿宋_GB2312" w:cs="仿宋_GB2312"/>
          <w:highlight w:val="none"/>
          <w:lang w:eastAsia="zh-CN"/>
        </w:rPr>
        <w:t>撤回已递交的</w:t>
      </w:r>
      <w:r>
        <w:rPr>
          <w:rFonts w:hint="eastAsia" w:eastAsia="仿宋_GB2312"/>
          <w:highlight w:val="none"/>
          <w:lang w:eastAsia="zh-CN"/>
        </w:rPr>
        <w:t>申请文件</w:t>
      </w:r>
      <w:r>
        <w:rPr>
          <w:rFonts w:hint="eastAsia" w:eastAsia="仿宋_GB2312" w:cs="仿宋_GB2312"/>
          <w:highlight w:val="none"/>
          <w:lang w:eastAsia="zh-CN"/>
        </w:rPr>
        <w:t>。</w:t>
      </w:r>
    </w:p>
    <w:p>
      <w:pPr>
        <w:widowControl w:val="0"/>
        <w:numPr>
          <w:ilvl w:val="-1"/>
          <w:numId w:val="0"/>
        </w:numPr>
        <w:spacing w:beforeLines="0" w:after="0" w:afterLines="0" w:line="578" w:lineRule="exact"/>
        <w:ind w:leftChars="200" w:firstLine="0" w:firstLineChars="0"/>
        <w:jc w:val="center"/>
        <w:rPr>
          <w:rFonts w:ascii="黑体" w:hAnsi="黑体" w:eastAsia="黑体"/>
          <w:b w:val="0"/>
          <w:bCs w:val="0"/>
          <w:sz w:val="32"/>
          <w:szCs w:val="32"/>
          <w:highlight w:val="none"/>
        </w:rPr>
      </w:pPr>
      <w:r>
        <w:rPr>
          <w:rFonts w:hint="eastAsia" w:ascii="黑体" w:hAnsi="黑体" w:eastAsia="黑体"/>
          <w:b w:val="0"/>
          <w:bCs w:val="0"/>
          <w:sz w:val="32"/>
          <w:szCs w:val="32"/>
          <w:highlight w:val="none"/>
        </w:rPr>
        <w:t>第四章 其他说明事项</w:t>
      </w:r>
    </w:p>
    <w:p>
      <w:pPr>
        <w:pStyle w:val="2"/>
        <w:numPr>
          <w:ilvl w:val="-1"/>
          <w:numId w:val="0"/>
        </w:numPr>
        <w:spacing w:before="0" w:beforeLines="0" w:after="0" w:afterLines="0" w:line="578" w:lineRule="exact"/>
        <w:ind w:left="567" w:firstLine="0" w:firstLineChars="0"/>
        <w:rPr>
          <w:rFonts w:ascii="黑体" w:hAnsi="黑体" w:eastAsia="黑体"/>
          <w:b w:val="0"/>
          <w:color w:val="auto"/>
          <w:sz w:val="32"/>
          <w:szCs w:val="32"/>
          <w:highlight w:val="none"/>
        </w:rPr>
      </w:pPr>
      <w:r>
        <w:rPr>
          <w:rFonts w:hint="eastAsia" w:ascii="黑体" w:hAnsi="黑体" w:eastAsia="黑体"/>
          <w:b w:val="0"/>
          <w:color w:val="auto"/>
          <w:sz w:val="32"/>
          <w:szCs w:val="32"/>
          <w:highlight w:val="none"/>
          <w:lang w:val="en-US" w:eastAsia="zh-CN"/>
        </w:rPr>
        <w:t>十一、</w:t>
      </w:r>
      <w:r>
        <w:rPr>
          <w:rFonts w:hint="eastAsia" w:ascii="黑体" w:hAnsi="黑体" w:eastAsia="黑体"/>
          <w:b w:val="0"/>
          <w:color w:val="auto"/>
          <w:sz w:val="32"/>
          <w:szCs w:val="32"/>
          <w:highlight w:val="none"/>
        </w:rPr>
        <w:t>申请无效情形</w:t>
      </w:r>
    </w:p>
    <w:p>
      <w:pPr>
        <w:widowControl w:val="0"/>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以下情形</w:t>
      </w:r>
      <w:r>
        <w:rPr>
          <w:rFonts w:eastAsia="仿宋_GB2312"/>
          <w:highlight w:val="none"/>
          <w:lang w:eastAsia="zh-CN"/>
        </w:rPr>
        <w:t>将导致</w:t>
      </w:r>
      <w:r>
        <w:rPr>
          <w:rFonts w:hint="eastAsia" w:eastAsia="仿宋_GB2312"/>
          <w:highlight w:val="none"/>
          <w:lang w:eastAsia="zh-CN"/>
        </w:rPr>
        <w:t>申请</w:t>
      </w:r>
      <w:r>
        <w:rPr>
          <w:rFonts w:eastAsia="仿宋_GB2312"/>
          <w:highlight w:val="none"/>
          <w:lang w:eastAsia="zh-CN"/>
        </w:rPr>
        <w:t>无效</w:t>
      </w:r>
      <w:r>
        <w:rPr>
          <w:rFonts w:hint="eastAsia" w:eastAsia="仿宋_GB2312"/>
          <w:highlight w:val="none"/>
          <w:lang w:eastAsia="zh-CN"/>
        </w:rPr>
        <w:t>：</w:t>
      </w:r>
    </w:p>
    <w:p>
      <w:pPr>
        <w:widowControl w:val="0"/>
        <w:numPr>
          <w:ilvl w:val="0"/>
          <w:numId w:val="3"/>
        </w:numPr>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申请人</w:t>
      </w:r>
      <w:r>
        <w:rPr>
          <w:rFonts w:eastAsia="仿宋_GB2312"/>
          <w:highlight w:val="none"/>
          <w:lang w:eastAsia="zh-CN"/>
        </w:rPr>
        <w:t>弄虚作假</w:t>
      </w:r>
      <w:r>
        <w:rPr>
          <w:rFonts w:hint="eastAsia" w:eastAsia="仿宋_GB2312"/>
          <w:highlight w:val="none"/>
          <w:lang w:eastAsia="zh-CN"/>
        </w:rPr>
        <w:t>，故意伪造、隐瞒、遗漏重大信息，或</w:t>
      </w:r>
      <w:r>
        <w:rPr>
          <w:rFonts w:eastAsia="仿宋_GB2312"/>
          <w:highlight w:val="none"/>
          <w:lang w:eastAsia="zh-CN"/>
        </w:rPr>
        <w:t>未实质性回应公告</w:t>
      </w:r>
      <w:r>
        <w:rPr>
          <w:rFonts w:hint="eastAsia" w:eastAsia="仿宋_GB2312"/>
          <w:highlight w:val="none"/>
          <w:lang w:eastAsia="zh-CN"/>
        </w:rPr>
        <w:t>内容</w:t>
      </w:r>
      <w:r>
        <w:rPr>
          <w:rFonts w:eastAsia="仿宋_GB2312"/>
          <w:highlight w:val="none"/>
          <w:lang w:eastAsia="zh-CN"/>
        </w:rPr>
        <w:t>、故意混淆重要事实；</w:t>
      </w:r>
    </w:p>
    <w:p>
      <w:pPr>
        <w:widowControl w:val="0"/>
        <w:numPr>
          <w:ilvl w:val="0"/>
          <w:numId w:val="3"/>
        </w:numPr>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申请人</w:t>
      </w:r>
      <w:r>
        <w:rPr>
          <w:rFonts w:eastAsia="仿宋_GB2312"/>
          <w:highlight w:val="none"/>
          <w:lang w:eastAsia="zh-CN"/>
        </w:rPr>
        <w:t>未通过资格性检查</w:t>
      </w:r>
      <w:r>
        <w:rPr>
          <w:rFonts w:hint="eastAsia" w:eastAsia="仿宋_GB2312"/>
          <w:highlight w:val="none"/>
          <w:lang w:eastAsia="zh-CN"/>
        </w:rPr>
        <w:t>，即不符合“入库资质要求”</w:t>
      </w:r>
      <w:r>
        <w:rPr>
          <w:rFonts w:eastAsia="仿宋_GB2312"/>
          <w:highlight w:val="none"/>
          <w:lang w:eastAsia="zh-CN"/>
        </w:rPr>
        <w:t>；</w:t>
      </w:r>
    </w:p>
    <w:p>
      <w:pPr>
        <w:widowControl w:val="0"/>
        <w:numPr>
          <w:ilvl w:val="0"/>
          <w:numId w:val="3"/>
        </w:numPr>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申请文件</w:t>
      </w:r>
      <w:r>
        <w:rPr>
          <w:rFonts w:eastAsia="仿宋_GB2312"/>
          <w:highlight w:val="none"/>
          <w:lang w:eastAsia="zh-CN"/>
        </w:rPr>
        <w:t>与</w:t>
      </w:r>
      <w:r>
        <w:rPr>
          <w:rFonts w:hint="eastAsia" w:eastAsia="仿宋_GB2312"/>
          <w:highlight w:val="none"/>
          <w:lang w:eastAsia="zh-CN"/>
        </w:rPr>
        <w:t>入库公告中</w:t>
      </w:r>
      <w:r>
        <w:rPr>
          <w:rFonts w:eastAsia="仿宋_GB2312"/>
          <w:highlight w:val="none"/>
          <w:lang w:eastAsia="zh-CN"/>
        </w:rPr>
        <w:t>实质性要求严重背离；</w:t>
      </w:r>
    </w:p>
    <w:p>
      <w:pPr>
        <w:widowControl w:val="0"/>
        <w:numPr>
          <w:ilvl w:val="0"/>
          <w:numId w:val="3"/>
        </w:numPr>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申请文件</w:t>
      </w:r>
      <w:r>
        <w:rPr>
          <w:rFonts w:eastAsia="仿宋_GB2312"/>
          <w:highlight w:val="none"/>
          <w:lang w:eastAsia="zh-CN"/>
        </w:rPr>
        <w:t>含有违反国家法律、法规的内容或附有</w:t>
      </w:r>
      <w:r>
        <w:rPr>
          <w:rFonts w:hint="eastAsia" w:eastAsia="仿宋_GB2312"/>
          <w:highlight w:val="none"/>
          <w:lang w:eastAsia="zh-CN"/>
        </w:rPr>
        <w:t>海南财金集团</w:t>
      </w:r>
      <w:r>
        <w:rPr>
          <w:rFonts w:eastAsia="仿宋_GB2312"/>
          <w:highlight w:val="none"/>
          <w:lang w:eastAsia="zh-CN"/>
        </w:rPr>
        <w:t>不能接受的条件</w:t>
      </w:r>
      <w:r>
        <w:rPr>
          <w:rFonts w:hint="eastAsia" w:eastAsia="仿宋_GB2312"/>
          <w:highlight w:val="none"/>
          <w:lang w:eastAsia="zh-CN"/>
        </w:rPr>
        <w:t>；</w:t>
      </w:r>
    </w:p>
    <w:p>
      <w:pPr>
        <w:widowControl w:val="0"/>
        <w:numPr>
          <w:ilvl w:val="0"/>
          <w:numId w:val="3"/>
        </w:numPr>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申请人存在任何</w:t>
      </w:r>
      <w:r>
        <w:rPr>
          <w:rFonts w:eastAsia="仿宋_GB2312"/>
          <w:highlight w:val="none"/>
          <w:lang w:eastAsia="zh-CN"/>
        </w:rPr>
        <w:t>影响</w:t>
      </w:r>
      <w:r>
        <w:rPr>
          <w:rFonts w:hint="eastAsia" w:eastAsia="仿宋_GB2312"/>
          <w:highlight w:val="none"/>
          <w:lang w:eastAsia="zh-CN"/>
        </w:rPr>
        <w:t>评审</w:t>
      </w:r>
      <w:r>
        <w:rPr>
          <w:rFonts w:eastAsia="仿宋_GB2312"/>
          <w:highlight w:val="none"/>
          <w:lang w:eastAsia="zh-CN"/>
        </w:rPr>
        <w:t>公正的</w:t>
      </w:r>
      <w:r>
        <w:rPr>
          <w:rFonts w:hint="eastAsia" w:eastAsia="仿宋_GB2312"/>
          <w:highlight w:val="none"/>
          <w:lang w:eastAsia="zh-CN"/>
        </w:rPr>
        <w:t>不合规</w:t>
      </w:r>
      <w:r>
        <w:rPr>
          <w:rFonts w:eastAsia="仿宋_GB2312"/>
          <w:highlight w:val="none"/>
          <w:lang w:eastAsia="zh-CN"/>
        </w:rPr>
        <w:t>行为</w:t>
      </w:r>
      <w:r>
        <w:rPr>
          <w:rFonts w:hint="eastAsia" w:eastAsia="仿宋_GB2312"/>
          <w:highlight w:val="none"/>
          <w:lang w:eastAsia="zh-CN"/>
        </w:rPr>
        <w:t>。</w:t>
      </w:r>
    </w:p>
    <w:p>
      <w:pPr>
        <w:pStyle w:val="2"/>
        <w:numPr>
          <w:ilvl w:val="-1"/>
          <w:numId w:val="0"/>
        </w:numPr>
        <w:spacing w:before="0" w:beforeLines="0" w:after="0" w:afterLines="0" w:line="578" w:lineRule="exact"/>
        <w:ind w:left="567" w:firstLine="0" w:firstLineChars="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十二、</w:t>
      </w:r>
      <w:r>
        <w:rPr>
          <w:rFonts w:hint="eastAsia" w:ascii="黑体" w:hAnsi="黑体" w:eastAsia="黑体"/>
          <w:b w:val="0"/>
          <w:bCs/>
          <w:color w:val="auto"/>
          <w:sz w:val="32"/>
          <w:szCs w:val="32"/>
          <w:highlight w:val="none"/>
        </w:rPr>
        <w:t>反商业贿赂及保密事项</w:t>
      </w:r>
    </w:p>
    <w:p>
      <w:pPr>
        <w:widowControl w:val="0"/>
        <w:numPr>
          <w:ilvl w:val="0"/>
          <w:numId w:val="4"/>
        </w:numPr>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申请人不得向金财公司相关人员询问评分情况，不得进行可能影响评审结果的活动，如试图向</w:t>
      </w:r>
      <w:r>
        <w:rPr>
          <w:rFonts w:hint="eastAsia" w:eastAsia="仿宋_GB2312"/>
          <w:highlight w:val="none"/>
          <w:lang w:val="en-US" w:eastAsia="zh-CN"/>
        </w:rPr>
        <w:t>金财公司</w:t>
      </w:r>
      <w:r>
        <w:rPr>
          <w:rFonts w:hint="eastAsia" w:eastAsia="仿宋_GB2312"/>
          <w:highlight w:val="none"/>
          <w:lang w:eastAsia="zh-CN"/>
        </w:rPr>
        <w:t>相关人员施加任何影响的，都将会导致其申请被拒绝。</w:t>
      </w:r>
    </w:p>
    <w:p>
      <w:pPr>
        <w:widowControl w:val="0"/>
        <w:numPr>
          <w:ilvl w:val="0"/>
          <w:numId w:val="4"/>
        </w:numPr>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申请人应当对金财公司的商业信息严格保密，不得向任何第三人透露。</w:t>
      </w:r>
    </w:p>
    <w:p>
      <w:pPr>
        <w:pStyle w:val="2"/>
        <w:numPr>
          <w:ilvl w:val="-1"/>
          <w:numId w:val="0"/>
        </w:numPr>
        <w:spacing w:before="0" w:beforeLines="0" w:after="0" w:afterLines="0" w:line="578" w:lineRule="exact"/>
        <w:ind w:left="567" w:firstLine="0" w:firstLineChars="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十三、</w:t>
      </w:r>
      <w:r>
        <w:rPr>
          <w:rFonts w:hint="eastAsia" w:ascii="黑体" w:hAnsi="黑体" w:eastAsia="黑体"/>
          <w:b w:val="0"/>
          <w:bCs/>
          <w:color w:val="auto"/>
          <w:sz w:val="32"/>
          <w:szCs w:val="32"/>
          <w:highlight w:val="none"/>
        </w:rPr>
        <w:t>咨询、答疑时间安排</w:t>
      </w:r>
    </w:p>
    <w:p>
      <w:pPr>
        <w:widowControl w:val="0"/>
        <w:adjustRightInd w:val="0"/>
        <w:snapToGrid w:val="0"/>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申请人如对入库公告有任何疑问需咨询、解答，请在本公告发布之日起至2025年</w:t>
      </w:r>
      <w:r>
        <w:rPr>
          <w:rFonts w:hint="eastAsia" w:eastAsia="仿宋_GB2312"/>
          <w:highlight w:val="none"/>
          <w:lang w:val="en-US" w:eastAsia="zh-CN"/>
        </w:rPr>
        <w:t>12</w:t>
      </w:r>
      <w:r>
        <w:rPr>
          <w:rFonts w:hint="eastAsia" w:eastAsia="仿宋_GB2312"/>
          <w:highlight w:val="none"/>
          <w:lang w:eastAsia="zh-CN"/>
        </w:rPr>
        <w:t>月</w:t>
      </w:r>
      <w:r>
        <w:rPr>
          <w:rFonts w:hint="eastAsia" w:eastAsia="仿宋_GB2312"/>
          <w:highlight w:val="none"/>
          <w:lang w:val="en-US" w:eastAsia="zh-CN"/>
        </w:rPr>
        <w:t>9</w:t>
      </w:r>
      <w:r>
        <w:rPr>
          <w:rFonts w:hint="eastAsia" w:eastAsia="仿宋_GB2312"/>
          <w:highlight w:val="none"/>
          <w:lang w:eastAsia="zh-CN"/>
        </w:rPr>
        <w:t>日，工作日8:30-1</w:t>
      </w:r>
      <w:r>
        <w:rPr>
          <w:rFonts w:hint="eastAsia" w:eastAsia="仿宋_GB2312"/>
          <w:highlight w:val="none"/>
          <w:lang w:val="en-US" w:eastAsia="zh-CN"/>
        </w:rPr>
        <w:t>2</w:t>
      </w:r>
      <w:r>
        <w:rPr>
          <w:rFonts w:hint="eastAsia" w:eastAsia="仿宋_GB2312"/>
          <w:highlight w:val="none"/>
          <w:lang w:eastAsia="zh-CN"/>
        </w:rPr>
        <w:t>:</w:t>
      </w:r>
      <w:r>
        <w:rPr>
          <w:rFonts w:hint="eastAsia" w:eastAsia="仿宋_GB2312"/>
          <w:highlight w:val="none"/>
          <w:lang w:val="en-US" w:eastAsia="zh-CN"/>
        </w:rPr>
        <w:t>0</w:t>
      </w:r>
      <w:r>
        <w:rPr>
          <w:rFonts w:hint="eastAsia" w:eastAsia="仿宋_GB2312"/>
          <w:highlight w:val="none"/>
          <w:lang w:eastAsia="zh-CN"/>
        </w:rPr>
        <w:t>0及14:30-18:00时期间联系。</w:t>
      </w:r>
    </w:p>
    <w:p>
      <w:pPr>
        <w:widowControl w:val="0"/>
        <w:adjustRightInd w:val="0"/>
        <w:snapToGrid w:val="0"/>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联系人：</w:t>
      </w:r>
      <w:r>
        <w:rPr>
          <w:rFonts w:hint="eastAsia" w:eastAsia="仿宋_GB2312"/>
          <w:highlight w:val="none"/>
          <w:lang w:val="en-US" w:eastAsia="zh-CN"/>
        </w:rPr>
        <w:t>黄小姐</w:t>
      </w:r>
    </w:p>
    <w:p>
      <w:pPr>
        <w:widowControl w:val="0"/>
        <w:adjustRightInd w:val="0"/>
        <w:snapToGrid w:val="0"/>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联系电话：</w:t>
      </w:r>
      <w:r>
        <w:rPr>
          <w:rFonts w:hint="eastAsia" w:eastAsia="仿宋_GB2312"/>
          <w:highlight w:val="none"/>
          <w:lang w:val="en-US" w:eastAsia="zh-CN"/>
        </w:rPr>
        <w:t>13976901662</w:t>
      </w:r>
    </w:p>
    <w:p>
      <w:pPr>
        <w:pStyle w:val="2"/>
        <w:numPr>
          <w:ilvl w:val="-1"/>
          <w:numId w:val="0"/>
        </w:numPr>
        <w:spacing w:before="0" w:beforeLines="0" w:after="0" w:afterLines="0" w:line="578" w:lineRule="exact"/>
        <w:ind w:left="567" w:firstLine="0" w:firstLineChars="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lang w:val="en-US" w:eastAsia="zh-CN"/>
        </w:rPr>
        <w:t>十四、</w:t>
      </w:r>
      <w:r>
        <w:rPr>
          <w:rFonts w:hint="eastAsia" w:ascii="黑体" w:hAnsi="黑体" w:eastAsia="黑体"/>
          <w:b w:val="0"/>
          <w:bCs/>
          <w:color w:val="auto"/>
          <w:sz w:val="32"/>
          <w:szCs w:val="32"/>
          <w:highlight w:val="none"/>
        </w:rPr>
        <w:t>其他说明</w:t>
      </w:r>
    </w:p>
    <w:p>
      <w:pPr>
        <w:widowControl w:val="0"/>
        <w:numPr>
          <w:ilvl w:val="0"/>
          <w:numId w:val="5"/>
        </w:numPr>
        <w:tabs>
          <w:tab w:val="left" w:pos="142"/>
        </w:tabs>
        <w:spacing w:beforeLines="0" w:after="0" w:afterLines="0" w:line="578" w:lineRule="exact"/>
        <w:ind w:firstLine="640"/>
        <w:jc w:val="both"/>
        <w:rPr>
          <w:rFonts w:eastAsia="仿宋_GB2312" w:cs="楷体"/>
          <w:highlight w:val="none"/>
          <w:lang w:eastAsia="zh-CN"/>
        </w:rPr>
      </w:pPr>
      <w:r>
        <w:rPr>
          <w:rFonts w:hint="eastAsia" w:eastAsia="仿宋_GB2312"/>
          <w:highlight w:val="none"/>
          <w:lang w:eastAsia="zh-CN"/>
        </w:rPr>
        <w:t>金财公司将对供应商备选库进行动态管理，后续将根据内部管理办法的规定进行增补或剔除。</w:t>
      </w:r>
    </w:p>
    <w:p>
      <w:pPr>
        <w:widowControl w:val="0"/>
        <w:numPr>
          <w:ilvl w:val="0"/>
          <w:numId w:val="5"/>
        </w:numPr>
        <w:tabs>
          <w:tab w:val="left" w:pos="142"/>
        </w:tabs>
        <w:spacing w:beforeLines="0" w:after="0" w:afterLines="0" w:line="578" w:lineRule="exact"/>
        <w:ind w:firstLine="640"/>
        <w:jc w:val="both"/>
        <w:rPr>
          <w:rFonts w:eastAsia="仿宋_GB2312" w:cs="楷体"/>
          <w:highlight w:val="none"/>
          <w:lang w:eastAsia="zh-CN"/>
        </w:rPr>
      </w:pPr>
      <w:r>
        <w:rPr>
          <w:rFonts w:hint="eastAsia" w:eastAsia="仿宋_GB2312" w:cs="仿宋_GB2312"/>
          <w:highlight w:val="none"/>
          <w:lang w:eastAsia="zh-CN"/>
        </w:rPr>
        <w:t>入库属于资格准入，申请人入库后不意味着必然中选具体项目。针对具体项目，</w:t>
      </w:r>
      <w:r>
        <w:rPr>
          <w:rFonts w:hint="eastAsia" w:eastAsia="仿宋_GB2312"/>
          <w:highlight w:val="none"/>
          <w:lang w:eastAsia="zh-CN"/>
        </w:rPr>
        <w:t>金财公司</w:t>
      </w:r>
      <w:r>
        <w:rPr>
          <w:rFonts w:hint="eastAsia" w:eastAsia="仿宋_GB2312" w:cs="仿宋_GB2312"/>
          <w:highlight w:val="none"/>
          <w:lang w:eastAsia="zh-CN"/>
        </w:rPr>
        <w:t>将按照内部规章制度的要求，在备选库内进行</w:t>
      </w:r>
      <w:r>
        <w:rPr>
          <w:rFonts w:hint="eastAsia" w:eastAsia="仿宋_GB2312" w:cs="仿宋_GB2312"/>
          <w:highlight w:val="none"/>
          <w:lang w:val="en-US" w:eastAsia="zh-CN"/>
        </w:rPr>
        <w:t>筛选</w:t>
      </w:r>
      <w:r>
        <w:rPr>
          <w:rFonts w:hint="eastAsia" w:eastAsia="仿宋_GB2312" w:cs="仿宋_GB2312"/>
          <w:highlight w:val="none"/>
          <w:lang w:eastAsia="zh-CN"/>
        </w:rPr>
        <w:t>（</w:t>
      </w:r>
      <w:r>
        <w:rPr>
          <w:rFonts w:hint="eastAsia" w:eastAsia="仿宋_GB2312"/>
          <w:highlight w:val="none"/>
          <w:lang w:eastAsia="zh-CN"/>
        </w:rPr>
        <w:t>金财公司</w:t>
      </w:r>
      <w:r>
        <w:rPr>
          <w:rFonts w:hint="eastAsia" w:eastAsia="仿宋_GB2312" w:cs="仿宋_GB2312"/>
          <w:highlight w:val="none"/>
          <w:lang w:eastAsia="zh-CN"/>
        </w:rPr>
        <w:t>规章制度另有规定的除外），并签订具体服务合同。</w:t>
      </w:r>
    </w:p>
    <w:p>
      <w:pPr>
        <w:widowControl w:val="0"/>
        <w:numPr>
          <w:ilvl w:val="0"/>
          <w:numId w:val="5"/>
        </w:numPr>
        <w:tabs>
          <w:tab w:val="left" w:pos="142"/>
        </w:tabs>
        <w:spacing w:beforeLines="0" w:after="0" w:afterLines="0" w:line="578" w:lineRule="exact"/>
        <w:ind w:firstLine="640"/>
        <w:jc w:val="both"/>
        <w:rPr>
          <w:rFonts w:eastAsia="仿宋_GB2312" w:cs="楷体"/>
          <w:highlight w:val="none"/>
          <w:lang w:eastAsia="zh-CN"/>
        </w:rPr>
      </w:pPr>
      <w:r>
        <w:rPr>
          <w:rFonts w:hint="eastAsia" w:eastAsia="仿宋_GB2312"/>
          <w:highlight w:val="none"/>
          <w:lang w:eastAsia="zh-CN"/>
        </w:rPr>
        <w:t>金财公司</w:t>
      </w:r>
      <w:r>
        <w:rPr>
          <w:rFonts w:hint="eastAsia" w:eastAsia="仿宋_GB2312" w:cs="仿宋_GB2312"/>
          <w:highlight w:val="none"/>
          <w:lang w:eastAsia="zh-CN"/>
        </w:rPr>
        <w:t>将在入库申请材料递交截止日后进行评审，评审结束后向入库供应商、团队发送入库通知书，未入库的供应商、团队不发送相关通知。</w:t>
      </w:r>
    </w:p>
    <w:p>
      <w:pPr>
        <w:widowControl w:val="0"/>
        <w:numPr>
          <w:ilvl w:val="0"/>
          <w:numId w:val="5"/>
        </w:numPr>
        <w:tabs>
          <w:tab w:val="left" w:pos="142"/>
        </w:tabs>
        <w:spacing w:beforeLines="0" w:after="0" w:afterLines="0" w:line="578" w:lineRule="exact"/>
        <w:ind w:firstLine="640"/>
        <w:jc w:val="both"/>
        <w:rPr>
          <w:rFonts w:hint="eastAsia" w:eastAsia="仿宋_GB2312"/>
          <w:highlight w:val="none"/>
          <w:lang w:val="en-US" w:eastAsia="zh-CN"/>
        </w:rPr>
      </w:pPr>
      <w:r>
        <w:rPr>
          <w:rFonts w:hint="eastAsia" w:eastAsia="仿宋_GB2312" w:cs="仿宋"/>
          <w:highlight w:val="none"/>
          <w:lang w:val="en-US" w:eastAsia="zh-CN"/>
        </w:rPr>
        <w:t>入库供应商的退出机制将参考《海南金财网络技术有限公司供应商管理制度》第六章供应商</w:t>
      </w:r>
      <w:bookmarkStart w:id="0" w:name="_GoBack"/>
      <w:bookmarkEnd w:id="0"/>
      <w:r>
        <w:rPr>
          <w:rFonts w:hint="eastAsia" w:eastAsia="仿宋_GB2312" w:cs="仿宋"/>
          <w:highlight w:val="none"/>
          <w:lang w:val="en-US" w:eastAsia="zh-CN"/>
        </w:rPr>
        <w:t>退出机制的第十八条主动退出、第十九条被动退出。</w:t>
      </w:r>
    </w:p>
    <w:p>
      <w:pPr>
        <w:spacing w:beforeLines="0" w:after="0" w:afterLines="0" w:line="578" w:lineRule="exact"/>
        <w:ind w:firstLine="640"/>
        <w:rPr>
          <w:rFonts w:eastAsia="仿宋_GB2312"/>
          <w:highlight w:val="none"/>
          <w:lang w:eastAsia="zh-CN"/>
        </w:rPr>
      </w:pPr>
    </w:p>
    <w:p>
      <w:pPr>
        <w:widowControl w:val="0"/>
        <w:tabs>
          <w:tab w:val="left" w:pos="142"/>
        </w:tabs>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附件：1.申请文件模板</w:t>
      </w:r>
    </w:p>
    <w:p>
      <w:pPr>
        <w:widowControl w:val="0"/>
        <w:tabs>
          <w:tab w:val="left" w:pos="142"/>
        </w:tabs>
        <w:spacing w:beforeLines="0" w:after="0" w:afterLines="0" w:line="578" w:lineRule="exact"/>
        <w:ind w:firstLine="1600" w:firstLineChars="500"/>
        <w:jc w:val="both"/>
        <w:rPr>
          <w:rFonts w:eastAsia="仿宋_GB2312"/>
          <w:highlight w:val="none"/>
          <w:lang w:eastAsia="zh-CN"/>
        </w:rPr>
      </w:pPr>
      <w:r>
        <w:rPr>
          <w:rFonts w:hint="eastAsia" w:eastAsia="仿宋_GB2312"/>
          <w:highlight w:val="none"/>
          <w:lang w:eastAsia="zh-CN"/>
        </w:rPr>
        <w:t>2.诚信声明</w:t>
      </w:r>
    </w:p>
    <w:p>
      <w:pPr>
        <w:widowControl w:val="0"/>
        <w:tabs>
          <w:tab w:val="left" w:pos="142"/>
        </w:tabs>
        <w:spacing w:beforeLines="0" w:after="0" w:afterLines="0" w:line="578" w:lineRule="exact"/>
        <w:ind w:firstLine="1600" w:firstLineChars="500"/>
        <w:jc w:val="both"/>
        <w:rPr>
          <w:rFonts w:eastAsia="仿宋_GB2312"/>
          <w:highlight w:val="none"/>
          <w:lang w:eastAsia="zh-CN"/>
        </w:rPr>
      </w:pPr>
      <w:r>
        <w:rPr>
          <w:rFonts w:hint="eastAsia" w:eastAsia="仿宋_GB2312"/>
          <w:highlight w:val="none"/>
          <w:lang w:eastAsia="zh-CN"/>
        </w:rPr>
        <w:t>3.团队成员名单</w:t>
      </w:r>
    </w:p>
    <w:p>
      <w:pPr>
        <w:widowControl w:val="0"/>
        <w:tabs>
          <w:tab w:val="left" w:pos="142"/>
        </w:tabs>
        <w:spacing w:beforeLines="0" w:after="0" w:afterLines="0" w:line="578" w:lineRule="exact"/>
        <w:ind w:firstLine="1600" w:firstLineChars="500"/>
        <w:jc w:val="both"/>
        <w:rPr>
          <w:rFonts w:hint="eastAsia" w:eastAsia="仿宋_GB2312"/>
          <w:highlight w:val="none"/>
          <w:lang w:eastAsia="zh-CN"/>
        </w:rPr>
      </w:pPr>
      <w:r>
        <w:rPr>
          <w:rFonts w:hint="eastAsia" w:eastAsia="仿宋_GB2312"/>
          <w:highlight w:val="none"/>
          <w:lang w:eastAsia="zh-CN"/>
        </w:rPr>
        <w:t>4.海南金财网络技术有限公司主要业务简介</w:t>
      </w:r>
    </w:p>
    <w:p>
      <w:pPr>
        <w:widowControl w:val="0"/>
        <w:tabs>
          <w:tab w:val="left" w:pos="142"/>
        </w:tabs>
        <w:spacing w:beforeLines="0" w:after="0" w:afterLines="0" w:line="578" w:lineRule="exact"/>
        <w:ind w:firstLine="1600" w:firstLineChars="500"/>
        <w:jc w:val="both"/>
        <w:rPr>
          <w:rFonts w:hint="eastAsia" w:eastAsia="仿宋_GB2312"/>
          <w:highlight w:val="none"/>
          <w:lang w:eastAsia="zh-CN"/>
        </w:rPr>
      </w:pPr>
      <w:r>
        <w:rPr>
          <w:rFonts w:hint="eastAsia" w:eastAsia="仿宋_GB2312"/>
          <w:highlight w:val="none"/>
          <w:lang w:val="en-US" w:eastAsia="zh-CN"/>
        </w:rPr>
        <w:t>5.</w:t>
      </w:r>
      <w:r>
        <w:rPr>
          <w:rFonts w:hint="eastAsia" w:eastAsia="仿宋_GB2312"/>
          <w:highlight w:val="none"/>
          <w:lang w:eastAsia="zh-CN"/>
        </w:rPr>
        <w:t>供应商评价标准</w:t>
      </w:r>
    </w:p>
    <w:p>
      <w:pPr>
        <w:pStyle w:val="2"/>
        <w:rPr>
          <w:rFonts w:hint="eastAsia"/>
          <w:highlight w:val="none"/>
          <w:lang w:eastAsia="zh-CN"/>
        </w:rPr>
      </w:pPr>
    </w:p>
    <w:p>
      <w:pPr>
        <w:widowControl w:val="0"/>
        <w:tabs>
          <w:tab w:val="left" w:pos="142"/>
        </w:tabs>
        <w:spacing w:beforeLines="0" w:after="0" w:afterLines="0" w:line="578" w:lineRule="exact"/>
        <w:ind w:firstLine="1600" w:firstLineChars="500"/>
        <w:jc w:val="both"/>
        <w:rPr>
          <w:rFonts w:eastAsia="仿宋_GB2312"/>
          <w:highlight w:val="none"/>
          <w:lang w:eastAsia="zh-CN"/>
        </w:rPr>
      </w:pPr>
    </w:p>
    <w:p>
      <w:pPr>
        <w:widowControl w:val="0"/>
        <w:adjustRightInd w:val="0"/>
        <w:snapToGrid w:val="0"/>
        <w:spacing w:beforeLines="0" w:after="0" w:afterLines="0" w:line="578" w:lineRule="exact"/>
        <w:ind w:firstLine="640"/>
        <w:jc w:val="right"/>
        <w:rPr>
          <w:rFonts w:eastAsia="仿宋_GB2312"/>
          <w:highlight w:val="none"/>
          <w:lang w:eastAsia="zh-CN"/>
        </w:rPr>
      </w:pPr>
      <w:r>
        <w:rPr>
          <w:rFonts w:hint="eastAsia" w:eastAsia="仿宋_GB2312"/>
          <w:highlight w:val="none"/>
          <w:lang w:eastAsia="zh-CN"/>
        </w:rPr>
        <w:t>海南金财网络技术有限公司</w:t>
      </w:r>
    </w:p>
    <w:p>
      <w:pPr>
        <w:widowControl w:val="0"/>
        <w:wordWrap w:val="0"/>
        <w:adjustRightInd w:val="0"/>
        <w:snapToGrid w:val="0"/>
        <w:spacing w:beforeLines="0" w:after="0" w:afterLines="0" w:line="578" w:lineRule="exact"/>
        <w:ind w:firstLine="640"/>
        <w:jc w:val="right"/>
        <w:rPr>
          <w:rFonts w:eastAsia="仿宋_GB2312"/>
          <w:highlight w:val="none"/>
          <w:lang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eastAsia="仿宋_GB2312"/>
          <w:highlight w:val="none"/>
          <w:lang w:eastAsia="zh-CN"/>
        </w:rPr>
        <w:t>2025年</w:t>
      </w:r>
      <w:r>
        <w:rPr>
          <w:rFonts w:hint="eastAsia" w:eastAsia="仿宋_GB2312"/>
          <w:highlight w:val="none"/>
          <w:lang w:val="en-US" w:eastAsia="zh-CN"/>
        </w:rPr>
        <w:t>12</w:t>
      </w:r>
      <w:r>
        <w:rPr>
          <w:rFonts w:hint="eastAsia" w:eastAsia="仿宋_GB2312"/>
          <w:highlight w:val="none"/>
          <w:lang w:eastAsia="zh-CN"/>
        </w:rPr>
        <w:t>月</w:t>
      </w:r>
      <w:r>
        <w:rPr>
          <w:rFonts w:hint="eastAsia" w:eastAsia="仿宋_GB2312"/>
          <w:highlight w:val="none"/>
          <w:lang w:val="en-US" w:eastAsia="zh-CN"/>
        </w:rPr>
        <w:t>1</w:t>
      </w:r>
      <w:r>
        <w:rPr>
          <w:rFonts w:hint="eastAsia" w:eastAsia="仿宋_GB2312"/>
          <w:highlight w:val="none"/>
          <w:lang w:eastAsia="zh-CN"/>
        </w:rPr>
        <w:t>日</w:t>
      </w:r>
    </w:p>
    <w:p>
      <w:pPr>
        <w:spacing w:beforeLines="0" w:after="0" w:afterLines="0" w:line="578" w:lineRule="exact"/>
        <w:ind w:firstLine="0" w:firstLineChars="0"/>
        <w:rPr>
          <w:rFonts w:hint="eastAsia" w:ascii="黑体" w:hAnsi="黑体" w:eastAsia="黑体" w:cs="黑体"/>
          <w:highlight w:val="none"/>
          <w:lang w:val="en-US" w:eastAsia="zh-CN"/>
        </w:rPr>
      </w:pPr>
      <w:r>
        <w:rPr>
          <w:rFonts w:hint="eastAsia" w:ascii="黑体" w:hAnsi="黑体" w:eastAsia="黑体" w:cs="黑体"/>
          <w:highlight w:val="none"/>
          <w:lang w:eastAsia="zh-CN"/>
        </w:rPr>
        <w:t>附件1</w:t>
      </w:r>
      <w:r>
        <w:rPr>
          <w:rFonts w:hint="eastAsia" w:ascii="黑体" w:hAnsi="黑体" w:eastAsia="黑体" w:cs="黑体"/>
          <w:highlight w:val="none"/>
          <w:lang w:val="en-US" w:eastAsia="zh-CN"/>
        </w:rPr>
        <w:t xml:space="preserve"> </w:t>
      </w:r>
    </w:p>
    <w:p>
      <w:pPr>
        <w:pStyle w:val="2"/>
        <w:spacing w:before="0" w:beforeLines="0" w:after="0" w:afterLines="0" w:line="578" w:lineRule="exact"/>
        <w:ind w:firstLine="482"/>
        <w:rPr>
          <w:highlight w:val="none"/>
          <w:lang w:val="en-US"/>
        </w:rPr>
      </w:pPr>
    </w:p>
    <w:p>
      <w:pPr>
        <w:widowControl w:val="0"/>
        <w:adjustRightInd w:val="0"/>
        <w:snapToGrid w:val="0"/>
        <w:spacing w:beforeLines="0" w:after="0" w:afterLines="0" w:line="578" w:lineRule="exact"/>
        <w:ind w:firstLine="0" w:firstLineChars="0"/>
        <w:jc w:val="center"/>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申请人基本情况表</w:t>
      </w:r>
    </w:p>
    <w:p>
      <w:pPr>
        <w:widowControl w:val="0"/>
        <w:adjustRightInd w:val="0"/>
        <w:snapToGrid w:val="0"/>
        <w:spacing w:beforeLines="0" w:after="0" w:afterLines="0" w:line="578" w:lineRule="exact"/>
        <w:ind w:firstLine="640"/>
        <w:rPr>
          <w:highlight w:val="none"/>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946"/>
        <w:gridCol w:w="2134"/>
        <w:gridCol w:w="131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8" w:type="dxa"/>
            <w:vAlign w:val="center"/>
          </w:tcPr>
          <w:p>
            <w:pPr>
              <w:widowControl w:val="0"/>
              <w:adjustRightInd w:val="0"/>
              <w:snapToGrid w:val="0"/>
              <w:spacing w:beforeLines="0" w:after="0" w:afterLines="0" w:line="578" w:lineRule="exact"/>
              <w:ind w:firstLine="0" w:firstLineChars="0"/>
              <w:jc w:val="center"/>
              <w:rPr>
                <w:rFonts w:hint="default" w:cs="仿宋_GB2312"/>
                <w:sz w:val="24"/>
                <w:szCs w:val="24"/>
                <w:highlight w:val="none"/>
                <w:lang w:val="en-US" w:eastAsia="zh-CN"/>
              </w:rPr>
            </w:pPr>
            <w:r>
              <w:rPr>
                <w:rFonts w:hint="eastAsia" w:eastAsia="仿宋_GB2312" w:cs="仿宋_GB2312"/>
                <w:sz w:val="24"/>
                <w:szCs w:val="24"/>
                <w:highlight w:val="none"/>
                <w:lang w:val="en-US" w:eastAsia="zh-CN"/>
              </w:rPr>
              <w:t>供应商名称</w:t>
            </w:r>
          </w:p>
        </w:tc>
        <w:tc>
          <w:tcPr>
            <w:tcW w:w="7034" w:type="dxa"/>
            <w:gridSpan w:val="4"/>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8"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单位负责人</w:t>
            </w:r>
          </w:p>
        </w:tc>
        <w:tc>
          <w:tcPr>
            <w:tcW w:w="3080" w:type="dxa"/>
            <w:gridSpan w:val="2"/>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c>
          <w:tcPr>
            <w:tcW w:w="1315"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成立日期</w:t>
            </w:r>
          </w:p>
        </w:tc>
        <w:tc>
          <w:tcPr>
            <w:tcW w:w="2639"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8" w:type="dxa"/>
            <w:vMerge w:val="restart"/>
            <w:vAlign w:val="center"/>
          </w:tcPr>
          <w:p>
            <w:pPr>
              <w:widowControl w:val="0"/>
              <w:adjustRightInd w:val="0"/>
              <w:snapToGrid w:val="0"/>
              <w:spacing w:beforeLines="0" w:after="0" w:afterLines="0" w:line="578" w:lineRule="exact"/>
              <w:ind w:firstLine="0" w:firstLineChars="0"/>
              <w:jc w:val="center"/>
              <w:rPr>
                <w:rFonts w:eastAsia="仿宋_GB2312" w:cs="仿宋_GB2312"/>
                <w:sz w:val="24"/>
                <w:szCs w:val="24"/>
                <w:highlight w:val="none"/>
                <w:lang w:eastAsia="zh-CN"/>
              </w:rPr>
            </w:pPr>
            <w:r>
              <w:rPr>
                <w:rFonts w:hint="eastAsia" w:eastAsia="仿宋_GB2312" w:cs="仿宋_GB2312"/>
                <w:sz w:val="24"/>
                <w:szCs w:val="24"/>
                <w:highlight w:val="none"/>
                <w:lang w:eastAsia="zh-CN"/>
              </w:rPr>
              <w:t>入库团队</w:t>
            </w:r>
          </w:p>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负责人</w:t>
            </w:r>
          </w:p>
        </w:tc>
        <w:tc>
          <w:tcPr>
            <w:tcW w:w="946"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姓名</w:t>
            </w:r>
          </w:p>
        </w:tc>
        <w:tc>
          <w:tcPr>
            <w:tcW w:w="2134"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c>
          <w:tcPr>
            <w:tcW w:w="1315"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手机号码</w:t>
            </w:r>
          </w:p>
        </w:tc>
        <w:tc>
          <w:tcPr>
            <w:tcW w:w="2639"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8" w:type="dxa"/>
            <w:vMerge w:val="continue"/>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c>
          <w:tcPr>
            <w:tcW w:w="946"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邮箱</w:t>
            </w:r>
          </w:p>
        </w:tc>
        <w:tc>
          <w:tcPr>
            <w:tcW w:w="6088" w:type="dxa"/>
            <w:gridSpan w:val="3"/>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8" w:type="dxa"/>
            <w:vMerge w:val="restart"/>
            <w:vAlign w:val="center"/>
          </w:tcPr>
          <w:p>
            <w:pPr>
              <w:widowControl w:val="0"/>
              <w:adjustRightInd w:val="0"/>
              <w:snapToGrid w:val="0"/>
              <w:spacing w:beforeLines="0" w:after="0" w:afterLines="0" w:line="578" w:lineRule="exact"/>
              <w:ind w:firstLine="0" w:firstLineChars="0"/>
              <w:jc w:val="center"/>
              <w:rPr>
                <w:rFonts w:eastAsia="仿宋_GB2312" w:cs="仿宋_GB2312"/>
                <w:sz w:val="24"/>
                <w:szCs w:val="24"/>
                <w:highlight w:val="none"/>
                <w:lang w:eastAsia="zh-CN"/>
              </w:rPr>
            </w:pPr>
            <w:r>
              <w:rPr>
                <w:rFonts w:hint="eastAsia" w:eastAsia="仿宋_GB2312" w:cs="仿宋_GB2312"/>
                <w:sz w:val="24"/>
                <w:szCs w:val="24"/>
                <w:highlight w:val="none"/>
                <w:lang w:eastAsia="zh-CN"/>
              </w:rPr>
              <w:t>团队</w:t>
            </w:r>
          </w:p>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联系方式</w:t>
            </w:r>
          </w:p>
        </w:tc>
        <w:tc>
          <w:tcPr>
            <w:tcW w:w="946"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联系人</w:t>
            </w:r>
          </w:p>
        </w:tc>
        <w:tc>
          <w:tcPr>
            <w:tcW w:w="2134"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c>
          <w:tcPr>
            <w:tcW w:w="1315"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手机号码</w:t>
            </w:r>
          </w:p>
        </w:tc>
        <w:tc>
          <w:tcPr>
            <w:tcW w:w="2639"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8" w:type="dxa"/>
            <w:vMerge w:val="continue"/>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c>
          <w:tcPr>
            <w:tcW w:w="946"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邮箱</w:t>
            </w:r>
          </w:p>
        </w:tc>
        <w:tc>
          <w:tcPr>
            <w:tcW w:w="6088" w:type="dxa"/>
            <w:gridSpan w:val="3"/>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488"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default" w:eastAsia="仿宋_GB2312" w:cs="仿宋_GB2312"/>
                <w:sz w:val="24"/>
                <w:szCs w:val="24"/>
                <w:highlight w:val="none"/>
                <w:lang w:val="en-US" w:eastAsia="zh-CN"/>
              </w:rPr>
              <w:t>申报类别</w:t>
            </w:r>
          </w:p>
        </w:tc>
        <w:tc>
          <w:tcPr>
            <w:tcW w:w="7034" w:type="dxa"/>
            <w:gridSpan w:val="4"/>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1488" w:type="dxa"/>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r>
              <w:rPr>
                <w:rFonts w:hint="eastAsia" w:eastAsia="仿宋_GB2312" w:cs="仿宋_GB2312"/>
                <w:sz w:val="24"/>
                <w:szCs w:val="24"/>
                <w:highlight w:val="none"/>
                <w:lang w:eastAsia="zh-CN"/>
              </w:rPr>
              <w:t>备注</w:t>
            </w:r>
          </w:p>
        </w:tc>
        <w:tc>
          <w:tcPr>
            <w:tcW w:w="7034" w:type="dxa"/>
            <w:gridSpan w:val="4"/>
            <w:vAlign w:val="center"/>
          </w:tcPr>
          <w:p>
            <w:pPr>
              <w:widowControl w:val="0"/>
              <w:adjustRightInd w:val="0"/>
              <w:snapToGrid w:val="0"/>
              <w:spacing w:beforeLines="0" w:after="0" w:afterLines="0" w:line="578" w:lineRule="exact"/>
              <w:ind w:firstLine="0" w:firstLineChars="0"/>
              <w:jc w:val="center"/>
              <w:rPr>
                <w:rFonts w:cs="仿宋_GB2312"/>
                <w:sz w:val="24"/>
                <w:szCs w:val="24"/>
                <w:highlight w:val="none"/>
                <w:lang w:eastAsia="zh-CN"/>
              </w:rPr>
            </w:pPr>
          </w:p>
        </w:tc>
      </w:tr>
    </w:tbl>
    <w:p>
      <w:pPr>
        <w:pStyle w:val="15"/>
        <w:spacing w:beforeLines="0" w:afterLines="0" w:line="578" w:lineRule="exact"/>
        <w:rPr>
          <w:highlight w:val="none"/>
          <w:lang w:eastAsia="zh-CN"/>
        </w:rPr>
        <w:sectPr>
          <w:pgSz w:w="11906" w:h="16838"/>
          <w:pgMar w:top="1440" w:right="1800" w:bottom="1440" w:left="1800" w:header="851" w:footer="992" w:gutter="0"/>
          <w:pgNumType w:fmt="decimal"/>
          <w:cols w:space="425" w:num="1"/>
          <w:docGrid w:type="lines" w:linePitch="312" w:charSpace="0"/>
        </w:sectPr>
      </w:pPr>
    </w:p>
    <w:p>
      <w:pPr>
        <w:widowControl w:val="0"/>
        <w:adjustRightInd w:val="0"/>
        <w:snapToGrid w:val="0"/>
        <w:spacing w:before="0" w:beforeLines="0" w:after="0" w:afterLines="0" w:line="578" w:lineRule="exact"/>
        <w:ind w:firstLine="0" w:firstLineChars="0"/>
        <w:jc w:val="center"/>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目录</w:t>
      </w:r>
    </w:p>
    <w:p>
      <w:pPr>
        <w:pStyle w:val="15"/>
        <w:numPr>
          <w:ilvl w:val="0"/>
          <w:numId w:val="6"/>
        </w:numPr>
        <w:spacing w:beforeLines="0" w:afterLines="0" w:line="578" w:lineRule="exact"/>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公司简介················X页</w:t>
      </w:r>
    </w:p>
    <w:p>
      <w:pPr>
        <w:pStyle w:val="15"/>
        <w:spacing w:beforeLines="0" w:afterLines="0" w:line="578" w:lineRule="exact"/>
        <w:rPr>
          <w:rFonts w:ascii="仿宋" w:hAnsi="仿宋" w:eastAsia="仿宋_GB2312" w:cs="黑体"/>
          <w:sz w:val="32"/>
          <w:szCs w:val="32"/>
          <w:highlight w:val="none"/>
          <w:lang w:eastAsia="zh-CN"/>
        </w:rPr>
      </w:pPr>
      <w:r>
        <w:rPr>
          <w:rFonts w:hint="eastAsia" w:ascii="仿宋" w:hAnsi="仿宋" w:eastAsia="仿宋_GB2312" w:cs="仿宋"/>
          <w:sz w:val="32"/>
          <w:szCs w:val="32"/>
          <w:highlight w:val="none"/>
          <w:lang w:eastAsia="zh-CN" w:bidi="ar-SA"/>
        </w:rPr>
        <w:t>申请人应简要介绍公司情况，不超过3页纸。</w:t>
      </w:r>
    </w:p>
    <w:p>
      <w:pPr>
        <w:pStyle w:val="15"/>
        <w:numPr>
          <w:ilvl w:val="0"/>
          <w:numId w:val="6"/>
        </w:numPr>
        <w:spacing w:beforeLines="0" w:afterLines="0" w:line="578" w:lineRule="exact"/>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资格审查信息··············X页</w:t>
      </w:r>
    </w:p>
    <w:p>
      <w:pPr>
        <w:pStyle w:val="15"/>
        <w:spacing w:beforeLines="0" w:afterLines="0" w:line="578" w:lineRule="exact"/>
        <w:rPr>
          <w:rFonts w:ascii="仿宋" w:hAnsi="仿宋" w:eastAsia="仿宋_GB2312" w:cs="黑体"/>
          <w:sz w:val="32"/>
          <w:szCs w:val="32"/>
          <w:highlight w:val="none"/>
          <w:lang w:eastAsia="zh-CN"/>
        </w:rPr>
      </w:pPr>
      <w:r>
        <w:rPr>
          <w:rFonts w:hint="eastAsia" w:ascii="仿宋" w:hAnsi="仿宋" w:eastAsia="仿宋_GB2312" w:cs="仿宋"/>
          <w:sz w:val="32"/>
          <w:szCs w:val="32"/>
          <w:highlight w:val="none"/>
          <w:lang w:eastAsia="zh-CN" w:bidi="ar-SA"/>
        </w:rPr>
        <w:t>申请人应按照第二章第一条“入库资质要求”的规定，按顺序提供相应证明材料。</w:t>
      </w:r>
    </w:p>
    <w:p>
      <w:pPr>
        <w:pStyle w:val="15"/>
        <w:numPr>
          <w:ilvl w:val="0"/>
          <w:numId w:val="6"/>
        </w:numPr>
        <w:spacing w:beforeLines="0" w:afterLines="0" w:line="578" w:lineRule="exact"/>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评审信息················X页</w:t>
      </w:r>
    </w:p>
    <w:p>
      <w:pPr>
        <w:pStyle w:val="15"/>
        <w:spacing w:beforeLines="0" w:afterLines="0" w:line="578" w:lineRule="exact"/>
        <w:rPr>
          <w:rFonts w:ascii="仿宋" w:hAnsi="仿宋" w:eastAsia="仿宋_GB2312" w:cs="仿宋"/>
          <w:sz w:val="32"/>
          <w:szCs w:val="32"/>
          <w:highlight w:val="none"/>
          <w:lang w:eastAsia="zh-CN" w:bidi="ar-SA"/>
        </w:rPr>
      </w:pPr>
      <w:r>
        <w:rPr>
          <w:rFonts w:hint="eastAsia" w:ascii="仿宋" w:hAnsi="仿宋" w:eastAsia="仿宋_GB2312" w:cs="仿宋"/>
          <w:sz w:val="32"/>
          <w:szCs w:val="32"/>
          <w:highlight w:val="none"/>
          <w:lang w:eastAsia="zh-CN" w:bidi="ar-SA"/>
        </w:rPr>
        <w:t>申请人应按照第二章第二条“入库评分标准”的规定，按顺序提供相应证明材料。</w:t>
      </w:r>
    </w:p>
    <w:p>
      <w:pPr>
        <w:pStyle w:val="15"/>
        <w:numPr>
          <w:ilvl w:val="0"/>
          <w:numId w:val="6"/>
        </w:numPr>
        <w:spacing w:beforeLines="0" w:afterLines="0" w:line="578" w:lineRule="exact"/>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申请人认为需要提交的其他资料······X页</w:t>
      </w:r>
    </w:p>
    <w:p>
      <w:pPr>
        <w:pStyle w:val="15"/>
        <w:spacing w:beforeLines="0" w:afterLines="0" w:line="578" w:lineRule="exact"/>
        <w:rPr>
          <w:rFonts w:ascii="仿宋_GB2312" w:hAnsi="宋体" w:eastAsia="仿宋_GB2312" w:cs="仿宋"/>
          <w:sz w:val="32"/>
          <w:szCs w:val="32"/>
          <w:highlight w:val="none"/>
          <w:lang w:eastAsia="zh-CN" w:bidi="ar-SA"/>
        </w:rPr>
        <w:sectPr>
          <w:pgSz w:w="11906" w:h="16838"/>
          <w:pgMar w:top="1440" w:right="1800" w:bottom="1440" w:left="1800" w:header="851" w:footer="992" w:gutter="0"/>
          <w:pgNumType w:fmt="decimal"/>
          <w:cols w:space="425" w:num="1"/>
          <w:docGrid w:type="lines" w:linePitch="312" w:charSpace="0"/>
        </w:sectPr>
      </w:pPr>
    </w:p>
    <w:p>
      <w:pPr>
        <w:pStyle w:val="15"/>
        <w:spacing w:beforeLines="0" w:afterLines="0" w:line="578" w:lineRule="exact"/>
        <w:rPr>
          <w:rFonts w:hint="eastAsia" w:ascii="黑体" w:hAnsi="黑体" w:eastAsia="黑体" w:cs="黑体"/>
          <w:sz w:val="32"/>
          <w:szCs w:val="32"/>
          <w:highlight w:val="none"/>
          <w:lang w:eastAsia="zh-CN" w:bidi="ar-SA"/>
        </w:rPr>
      </w:pPr>
      <w:r>
        <w:rPr>
          <w:rFonts w:hint="eastAsia" w:ascii="黑体" w:hAnsi="黑体" w:eastAsia="黑体" w:cs="黑体"/>
          <w:sz w:val="32"/>
          <w:szCs w:val="32"/>
          <w:highlight w:val="none"/>
          <w:lang w:eastAsia="zh-CN" w:bidi="ar-SA"/>
        </w:rPr>
        <w:t>附件2</w:t>
      </w:r>
    </w:p>
    <w:p>
      <w:pPr>
        <w:pStyle w:val="15"/>
        <w:spacing w:beforeLines="0" w:afterLines="0" w:line="578" w:lineRule="exact"/>
        <w:rPr>
          <w:rFonts w:hint="eastAsia" w:ascii="黑体" w:hAnsi="黑体" w:eastAsia="黑体" w:cs="黑体"/>
          <w:sz w:val="32"/>
          <w:szCs w:val="32"/>
          <w:highlight w:val="none"/>
          <w:lang w:eastAsia="zh-CN" w:bidi="ar-SA"/>
        </w:rPr>
      </w:pPr>
    </w:p>
    <w:p>
      <w:pPr>
        <w:widowControl w:val="0"/>
        <w:adjustRightInd w:val="0"/>
        <w:snapToGrid w:val="0"/>
        <w:spacing w:before="0" w:beforeLines="0" w:after="0" w:afterLines="0" w:line="578" w:lineRule="exact"/>
        <w:ind w:firstLine="0" w:firstLineChars="0"/>
        <w:jc w:val="center"/>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诚信声明</w:t>
      </w:r>
    </w:p>
    <w:p>
      <w:pPr>
        <w:pStyle w:val="10"/>
        <w:spacing w:before="0" w:beforeLines="0" w:beforeAutospacing="0" w:after="0" w:afterLines="0" w:afterAutospacing="0" w:line="578" w:lineRule="exact"/>
        <w:rPr>
          <w:rFonts w:ascii="仿宋" w:hAnsi="仿宋" w:eastAsia="仿宋_GB2312"/>
          <w:highlight w:val="none"/>
        </w:rPr>
      </w:pPr>
    </w:p>
    <w:p>
      <w:pPr>
        <w:widowControl w:val="0"/>
        <w:adjustRightInd w:val="0"/>
        <w:snapToGrid w:val="0"/>
        <w:spacing w:beforeLines="0" w:after="0" w:afterLines="0" w:line="578" w:lineRule="exact"/>
        <w:ind w:firstLine="0" w:firstLineChars="0"/>
        <w:jc w:val="both"/>
        <w:rPr>
          <w:rFonts w:eastAsia="仿宋_GB2312"/>
          <w:b/>
          <w:bCs/>
          <w:highlight w:val="none"/>
          <w:lang w:eastAsia="zh-CN"/>
        </w:rPr>
      </w:pPr>
      <w:r>
        <w:rPr>
          <w:rFonts w:hint="eastAsia" w:eastAsia="仿宋_GB2312"/>
          <w:b/>
          <w:bCs/>
          <w:highlight w:val="none"/>
          <w:lang w:eastAsia="zh-CN"/>
        </w:rPr>
        <w:t>致</w:t>
      </w:r>
      <w:r>
        <w:rPr>
          <w:rFonts w:hint="eastAsia" w:eastAsia="仿宋_GB2312"/>
          <w:b/>
          <w:highlight w:val="none"/>
          <w:lang w:eastAsia="zh-CN"/>
        </w:rPr>
        <w:t>海南金财网络技术有限</w:t>
      </w:r>
      <w:r>
        <w:rPr>
          <w:rFonts w:hint="eastAsia" w:eastAsia="仿宋_GB2312"/>
          <w:b/>
          <w:bCs/>
          <w:highlight w:val="none"/>
          <w:lang w:eastAsia="zh-CN"/>
        </w:rPr>
        <w:t>公司：</w:t>
      </w:r>
    </w:p>
    <w:p>
      <w:pPr>
        <w:widowControl w:val="0"/>
        <w:adjustRightInd w:val="0"/>
        <w:snapToGrid w:val="0"/>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针对贵</w:t>
      </w:r>
      <w:r>
        <w:rPr>
          <w:rFonts w:hint="eastAsia" w:eastAsia="仿宋_GB2312"/>
          <w:highlight w:val="none"/>
          <w:lang w:val="en-US" w:eastAsia="zh-CN"/>
        </w:rPr>
        <w:t>公</w:t>
      </w:r>
      <w:r>
        <w:rPr>
          <w:rFonts w:hint="eastAsia" w:eastAsia="仿宋_GB2312"/>
          <w:highlight w:val="none"/>
          <w:lang w:eastAsia="zh-CN"/>
        </w:rPr>
        <w:t>司组织的《海南金财网络技术有限公司</w:t>
      </w:r>
      <w:r>
        <w:rPr>
          <w:rFonts w:eastAsia="仿宋_GB2312"/>
          <w:highlight w:val="none"/>
          <w:lang w:eastAsia="zh-CN"/>
        </w:rPr>
        <w:t>软件服务</w:t>
      </w:r>
      <w:r>
        <w:rPr>
          <w:rFonts w:hint="eastAsia" w:eastAsia="仿宋_GB2312"/>
          <w:highlight w:val="none"/>
          <w:lang w:eastAsia="zh-CN"/>
        </w:rPr>
        <w:t>供应商备选库入库项目》，</w:t>
      </w:r>
      <w:r>
        <w:rPr>
          <w:rFonts w:hint="eastAsia" w:eastAsia="仿宋_GB2312"/>
          <w:highlight w:val="none"/>
          <w:u w:val="single"/>
          <w:lang w:eastAsia="zh-CN"/>
        </w:rPr>
        <w:t xml:space="preserve">  （申请人名称）    </w:t>
      </w:r>
      <w:r>
        <w:rPr>
          <w:rFonts w:hint="eastAsia" w:eastAsia="仿宋_GB2312"/>
          <w:highlight w:val="none"/>
          <w:lang w:eastAsia="zh-CN"/>
        </w:rPr>
        <w:t>郑重声明如下：</w:t>
      </w:r>
    </w:p>
    <w:p>
      <w:pPr>
        <w:widowControl w:val="0"/>
        <w:adjustRightInd w:val="0"/>
        <w:snapToGrid w:val="0"/>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我单位具有良好的行业信誉和健全的财务会计制度；具有履行合同所必需的专业技术能力；具有依法缴纳税收和社会保障资金的良好记录；近5年内我</w:t>
      </w:r>
      <w:r>
        <w:rPr>
          <w:rFonts w:hint="eastAsia" w:eastAsia="仿宋_GB2312"/>
          <w:highlight w:val="none"/>
          <w:lang w:val="en-US" w:eastAsia="zh-CN"/>
        </w:rPr>
        <w:t>单位</w:t>
      </w:r>
      <w:r>
        <w:rPr>
          <w:rFonts w:hint="eastAsia" w:eastAsia="仿宋_GB2312"/>
          <w:highlight w:val="none"/>
          <w:lang w:eastAsia="zh-CN"/>
        </w:rPr>
        <w:t>及单位负责人未有犯罪行为；近5年内我</w:t>
      </w:r>
      <w:r>
        <w:rPr>
          <w:rFonts w:hint="eastAsia" w:eastAsia="仿宋_GB2312"/>
          <w:highlight w:val="none"/>
          <w:lang w:val="en-US" w:eastAsia="zh-CN"/>
        </w:rPr>
        <w:t>单位</w:t>
      </w:r>
      <w:r>
        <w:rPr>
          <w:rFonts w:hint="eastAsia" w:eastAsia="仿宋_GB2312"/>
          <w:highlight w:val="none"/>
          <w:lang w:eastAsia="zh-CN"/>
        </w:rPr>
        <w:t>未被列入失信被执行人名单，未受到刑事处罚，未被责令停产停业、吊销许可证或者执照。我</w:t>
      </w:r>
      <w:r>
        <w:rPr>
          <w:rFonts w:hint="eastAsia" w:eastAsia="仿宋_GB2312"/>
          <w:highlight w:val="none"/>
          <w:lang w:val="en-US" w:eastAsia="zh-CN"/>
        </w:rPr>
        <w:t>单位</w:t>
      </w:r>
      <w:r>
        <w:rPr>
          <w:rFonts w:hint="eastAsia" w:eastAsia="仿宋_GB2312"/>
          <w:highlight w:val="none"/>
          <w:lang w:eastAsia="zh-CN"/>
        </w:rPr>
        <w:t>对此声明负全部法律责任。</w:t>
      </w:r>
    </w:p>
    <w:p>
      <w:pPr>
        <w:widowControl w:val="0"/>
        <w:adjustRightInd w:val="0"/>
        <w:snapToGrid w:val="0"/>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特此声明。</w:t>
      </w:r>
    </w:p>
    <w:p>
      <w:pPr>
        <w:widowControl w:val="0"/>
        <w:adjustRightInd w:val="0"/>
        <w:snapToGrid w:val="0"/>
        <w:spacing w:beforeLines="0" w:after="0" w:afterLines="0" w:line="578" w:lineRule="exact"/>
        <w:ind w:firstLine="640"/>
        <w:jc w:val="both"/>
        <w:rPr>
          <w:rFonts w:eastAsia="仿宋_GB2312"/>
          <w:highlight w:val="none"/>
          <w:lang w:eastAsia="zh-CN"/>
        </w:rPr>
      </w:pPr>
      <w:r>
        <w:rPr>
          <w:rFonts w:hint="eastAsia" w:eastAsia="仿宋_GB2312"/>
          <w:highlight w:val="none"/>
          <w:lang w:eastAsia="zh-CN"/>
        </w:rPr>
        <w:t xml:space="preserve">  </w:t>
      </w:r>
    </w:p>
    <w:p>
      <w:pPr>
        <w:widowControl w:val="0"/>
        <w:adjustRightInd w:val="0"/>
        <w:snapToGrid w:val="0"/>
        <w:spacing w:beforeLines="0" w:after="0" w:afterLines="0" w:line="578" w:lineRule="exact"/>
        <w:ind w:firstLine="640"/>
        <w:jc w:val="both"/>
        <w:rPr>
          <w:rFonts w:eastAsia="仿宋_GB2312"/>
          <w:highlight w:val="none"/>
          <w:lang w:eastAsia="zh-CN"/>
        </w:rPr>
      </w:pPr>
    </w:p>
    <w:p>
      <w:pPr>
        <w:widowControl w:val="0"/>
        <w:wordWrap w:val="0"/>
        <w:adjustRightInd w:val="0"/>
        <w:snapToGrid w:val="0"/>
        <w:spacing w:beforeLines="0" w:after="0" w:afterLines="0" w:line="578" w:lineRule="exact"/>
        <w:ind w:firstLine="640"/>
        <w:jc w:val="right"/>
        <w:rPr>
          <w:rFonts w:eastAsia="仿宋_GB2312"/>
          <w:highlight w:val="none"/>
          <w:lang w:eastAsia="zh-CN"/>
        </w:rPr>
      </w:pPr>
      <w:r>
        <w:rPr>
          <w:rFonts w:hint="eastAsia" w:eastAsia="仿宋_GB2312"/>
          <w:highlight w:val="none"/>
          <w:lang w:eastAsia="zh-CN"/>
        </w:rPr>
        <w:t xml:space="preserve">申请人名称（盖章）：          </w:t>
      </w:r>
    </w:p>
    <w:p>
      <w:pPr>
        <w:widowControl w:val="0"/>
        <w:wordWrap w:val="0"/>
        <w:adjustRightInd w:val="0"/>
        <w:snapToGrid w:val="0"/>
        <w:spacing w:beforeLines="0" w:after="0" w:afterLines="0" w:line="578" w:lineRule="exact"/>
        <w:ind w:firstLine="640"/>
        <w:jc w:val="right"/>
        <w:rPr>
          <w:rFonts w:ascii="仿宋_GB2312" w:hAnsi="宋体" w:eastAsia="仿宋_GB2312"/>
          <w:highlight w:val="none"/>
          <w:lang w:eastAsia="zh-CN"/>
        </w:rPr>
      </w:pPr>
      <w:r>
        <w:rPr>
          <w:rFonts w:hint="eastAsia" w:eastAsia="仿宋_GB2312"/>
          <w:highlight w:val="none"/>
          <w:lang w:eastAsia="zh-CN"/>
        </w:rPr>
        <w:t xml:space="preserve">日期：  </w:t>
      </w:r>
      <w:r>
        <w:rPr>
          <w:rFonts w:hint="eastAsia" w:ascii="仿宋_GB2312" w:hAnsi="宋体" w:eastAsia="仿宋_GB2312"/>
          <w:highlight w:val="none"/>
          <w:lang w:eastAsia="zh-CN"/>
        </w:rPr>
        <w:t xml:space="preserve">                      </w:t>
      </w:r>
    </w:p>
    <w:p>
      <w:pPr>
        <w:pStyle w:val="15"/>
        <w:spacing w:beforeLines="0" w:afterLines="0" w:line="578" w:lineRule="exact"/>
        <w:rPr>
          <w:rFonts w:ascii="仿宋_GB2312" w:hAnsi="宋体" w:eastAsia="仿宋_GB2312" w:cs="仿宋"/>
          <w:sz w:val="32"/>
          <w:szCs w:val="32"/>
          <w:highlight w:val="none"/>
          <w:lang w:eastAsia="zh-CN" w:bidi="ar-SA"/>
        </w:rPr>
      </w:pPr>
    </w:p>
    <w:p>
      <w:pPr>
        <w:pStyle w:val="15"/>
        <w:spacing w:beforeLines="0" w:afterLines="0" w:line="578" w:lineRule="exact"/>
        <w:rPr>
          <w:rFonts w:ascii="仿宋_GB2312" w:hAnsi="宋体" w:eastAsia="仿宋_GB2312" w:cs="仿宋"/>
          <w:sz w:val="32"/>
          <w:szCs w:val="32"/>
          <w:highlight w:val="none"/>
          <w:lang w:eastAsia="zh-CN" w:bidi="ar-SA"/>
        </w:rPr>
        <w:sectPr>
          <w:pgSz w:w="11906" w:h="16838"/>
          <w:pgMar w:top="1440" w:right="1800" w:bottom="1440" w:left="1800" w:header="851" w:footer="992" w:gutter="0"/>
          <w:pgNumType w:fmt="decimal"/>
          <w:cols w:space="425" w:num="1"/>
          <w:docGrid w:type="lines" w:linePitch="312" w:charSpace="0"/>
        </w:sectPr>
      </w:pPr>
    </w:p>
    <w:p>
      <w:pPr>
        <w:pStyle w:val="15"/>
        <w:spacing w:beforeLines="0" w:afterLines="0" w:line="578" w:lineRule="exact"/>
        <w:rPr>
          <w:rFonts w:hint="eastAsia" w:ascii="黑体" w:hAnsi="黑体" w:eastAsia="黑体" w:cs="黑体"/>
          <w:sz w:val="32"/>
          <w:szCs w:val="32"/>
          <w:highlight w:val="none"/>
          <w:lang w:eastAsia="zh-CN" w:bidi="ar-SA"/>
        </w:rPr>
      </w:pPr>
      <w:r>
        <w:rPr>
          <w:rFonts w:hint="eastAsia" w:ascii="黑体" w:hAnsi="黑体" w:eastAsia="黑体" w:cs="黑体"/>
          <w:sz w:val="32"/>
          <w:szCs w:val="32"/>
          <w:highlight w:val="none"/>
          <w:lang w:eastAsia="zh-CN" w:bidi="ar-SA"/>
        </w:rPr>
        <w:t>附件3</w:t>
      </w:r>
    </w:p>
    <w:p>
      <w:pPr>
        <w:pStyle w:val="15"/>
        <w:spacing w:beforeLines="0" w:afterLines="0" w:line="578" w:lineRule="exact"/>
        <w:rPr>
          <w:rFonts w:hint="eastAsia" w:ascii="黑体" w:hAnsi="黑体" w:eastAsia="黑体" w:cs="黑体"/>
          <w:sz w:val="32"/>
          <w:szCs w:val="32"/>
          <w:highlight w:val="none"/>
          <w:lang w:eastAsia="zh-CN" w:bidi="ar-SA"/>
        </w:rPr>
      </w:pPr>
    </w:p>
    <w:p>
      <w:pPr>
        <w:widowControl w:val="0"/>
        <w:adjustRightInd w:val="0"/>
        <w:snapToGrid w:val="0"/>
        <w:spacing w:before="0" w:beforeLines="0" w:after="0" w:afterLines="0" w:line="578" w:lineRule="exact"/>
        <w:ind w:firstLine="0" w:firstLineChars="0"/>
        <w:jc w:val="center"/>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团队成员名单</w:t>
      </w:r>
    </w:p>
    <w:p>
      <w:pPr>
        <w:widowControl w:val="0"/>
        <w:adjustRightInd w:val="0"/>
        <w:snapToGrid w:val="0"/>
        <w:spacing w:beforeLines="0" w:after="0" w:afterLines="0" w:line="578" w:lineRule="exact"/>
        <w:ind w:firstLine="0" w:firstLineChars="0"/>
        <w:jc w:val="center"/>
        <w:rPr>
          <w:rFonts w:eastAsia="仿宋_GB2312"/>
          <w:highlight w:val="none"/>
          <w:lang w:eastAsia="zh-CN"/>
        </w:rPr>
      </w:pPr>
    </w:p>
    <w:p>
      <w:pPr>
        <w:widowControl w:val="0"/>
        <w:adjustRightInd w:val="0"/>
        <w:snapToGrid w:val="0"/>
        <w:spacing w:beforeLines="0" w:after="0" w:afterLines="0" w:line="578" w:lineRule="exact"/>
        <w:ind w:firstLine="0" w:firstLineChars="0"/>
        <w:jc w:val="both"/>
        <w:rPr>
          <w:rFonts w:eastAsia="仿宋_GB2312"/>
          <w:b/>
          <w:bCs/>
          <w:highlight w:val="none"/>
          <w:lang w:eastAsia="zh-CN"/>
        </w:rPr>
      </w:pPr>
      <w:r>
        <w:rPr>
          <w:rFonts w:hint="eastAsia" w:eastAsia="仿宋_GB2312"/>
          <w:b/>
          <w:bCs/>
          <w:highlight w:val="none"/>
          <w:lang w:eastAsia="zh-CN"/>
        </w:rPr>
        <w:t>致</w:t>
      </w:r>
      <w:r>
        <w:rPr>
          <w:rFonts w:hint="eastAsia" w:eastAsia="仿宋_GB2312"/>
          <w:b/>
          <w:highlight w:val="none"/>
          <w:lang w:eastAsia="zh-CN"/>
        </w:rPr>
        <w:t>海南金财网络技术有限</w:t>
      </w:r>
      <w:r>
        <w:rPr>
          <w:rFonts w:hint="eastAsia" w:eastAsia="仿宋_GB2312"/>
          <w:b/>
          <w:bCs/>
          <w:highlight w:val="none"/>
          <w:lang w:eastAsia="zh-CN"/>
        </w:rPr>
        <w:t>公司：</w:t>
      </w:r>
    </w:p>
    <w:p>
      <w:pPr>
        <w:widowControl w:val="0"/>
        <w:adjustRightInd w:val="0"/>
        <w:snapToGrid w:val="0"/>
        <w:spacing w:beforeLines="0" w:after="0" w:afterLines="0" w:line="578" w:lineRule="exact"/>
        <w:ind w:firstLine="640"/>
        <w:jc w:val="both"/>
        <w:rPr>
          <w:highlight w:val="none"/>
          <w:lang w:eastAsia="zh-CN"/>
        </w:rPr>
      </w:pPr>
      <w:r>
        <w:rPr>
          <w:rFonts w:hint="eastAsia" w:eastAsia="仿宋_GB2312"/>
          <w:highlight w:val="none"/>
          <w:lang w:eastAsia="zh-CN"/>
        </w:rPr>
        <w:t>针对贵</w:t>
      </w:r>
      <w:r>
        <w:rPr>
          <w:rFonts w:hint="eastAsia" w:eastAsia="仿宋_GB2312"/>
          <w:highlight w:val="none"/>
          <w:lang w:val="en-US" w:eastAsia="zh-CN"/>
        </w:rPr>
        <w:t>公</w:t>
      </w:r>
      <w:r>
        <w:rPr>
          <w:rFonts w:hint="eastAsia" w:eastAsia="仿宋_GB2312"/>
          <w:highlight w:val="none"/>
          <w:lang w:eastAsia="zh-CN"/>
        </w:rPr>
        <w:t>司组织的《海南金财网络技术有限公司</w:t>
      </w:r>
      <w:r>
        <w:rPr>
          <w:rFonts w:eastAsia="仿宋_GB2312"/>
          <w:highlight w:val="none"/>
          <w:lang w:eastAsia="zh-CN"/>
        </w:rPr>
        <w:t>软件服务</w:t>
      </w:r>
      <w:r>
        <w:rPr>
          <w:rFonts w:hint="eastAsia" w:eastAsia="仿宋_GB2312"/>
          <w:highlight w:val="none"/>
          <w:lang w:eastAsia="zh-CN"/>
        </w:rPr>
        <w:t>供应商备选库入库项目》，</w:t>
      </w:r>
      <w:r>
        <w:rPr>
          <w:rFonts w:hint="eastAsia" w:eastAsia="仿宋_GB2312"/>
          <w:highlight w:val="none"/>
          <w:u w:val="single"/>
          <w:lang w:eastAsia="zh-CN"/>
        </w:rPr>
        <w:t xml:space="preserve">  （申请人名称）    </w:t>
      </w:r>
      <w:r>
        <w:rPr>
          <w:rFonts w:hint="eastAsia" w:eastAsia="仿宋_GB2312"/>
          <w:highlight w:val="none"/>
          <w:lang w:eastAsia="zh-CN"/>
        </w:rPr>
        <w:t>郑重声明，我单位拟委派下列人员作为入库团队成员，在实际服务中，未经贵</w:t>
      </w:r>
      <w:r>
        <w:rPr>
          <w:rFonts w:hint="eastAsia" w:eastAsia="仿宋_GB2312"/>
          <w:highlight w:val="none"/>
          <w:lang w:val="en-US" w:eastAsia="zh-CN"/>
        </w:rPr>
        <w:t>公</w:t>
      </w:r>
      <w:r>
        <w:rPr>
          <w:rFonts w:hint="eastAsia" w:eastAsia="仿宋_GB2312"/>
          <w:highlight w:val="none"/>
          <w:lang w:eastAsia="zh-CN"/>
        </w:rPr>
        <w:t>司书面同意，我单位承诺不擅自更换或安排他人顶替团队成员，否则公司有权视情节轻重采取剔除出库，以及（在已签署服务协议的情况下）追究我单位违约责任、扣减应付我单位服务费用、单方解除协议或不予支付任何费用等措施。</w:t>
      </w:r>
    </w:p>
    <w:tbl>
      <w:tblPr>
        <w:tblStyle w:val="12"/>
        <w:tblW w:w="8993"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309"/>
        <w:gridCol w:w="1298"/>
        <w:gridCol w:w="1548"/>
        <w:gridCol w:w="1241"/>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1" w:type="dxa"/>
            <w:vAlign w:val="center"/>
          </w:tcPr>
          <w:p>
            <w:pPr>
              <w:widowControl w:val="0"/>
              <w:adjustRightInd w:val="0"/>
              <w:snapToGrid w:val="0"/>
              <w:spacing w:beforeLines="0" w:after="0" w:afterLines="0" w:line="578" w:lineRule="exact"/>
              <w:ind w:firstLine="0" w:firstLineChars="0"/>
              <w:jc w:val="center"/>
              <w:rPr>
                <w:b/>
                <w:bCs/>
                <w:sz w:val="24"/>
                <w:szCs w:val="24"/>
                <w:highlight w:val="none"/>
                <w:lang w:eastAsia="zh-CN"/>
              </w:rPr>
            </w:pPr>
            <w:r>
              <w:rPr>
                <w:rFonts w:hint="eastAsia" w:eastAsia="仿宋_GB2312"/>
                <w:b/>
                <w:bCs/>
                <w:sz w:val="24"/>
                <w:szCs w:val="24"/>
                <w:highlight w:val="none"/>
                <w:lang w:eastAsia="zh-CN"/>
              </w:rPr>
              <w:t>序号</w:t>
            </w:r>
          </w:p>
        </w:tc>
        <w:tc>
          <w:tcPr>
            <w:tcW w:w="1309" w:type="dxa"/>
            <w:vAlign w:val="center"/>
          </w:tcPr>
          <w:p>
            <w:pPr>
              <w:widowControl w:val="0"/>
              <w:adjustRightInd w:val="0"/>
              <w:snapToGrid w:val="0"/>
              <w:spacing w:beforeLines="0" w:after="0" w:afterLines="0" w:line="578" w:lineRule="exact"/>
              <w:ind w:firstLine="0" w:firstLineChars="0"/>
              <w:jc w:val="center"/>
              <w:rPr>
                <w:b/>
                <w:bCs/>
                <w:sz w:val="24"/>
                <w:szCs w:val="24"/>
                <w:highlight w:val="none"/>
                <w:lang w:eastAsia="zh-CN"/>
              </w:rPr>
            </w:pPr>
            <w:r>
              <w:rPr>
                <w:rFonts w:hint="eastAsia" w:eastAsia="仿宋_GB2312"/>
                <w:b/>
                <w:bCs/>
                <w:sz w:val="24"/>
                <w:szCs w:val="24"/>
                <w:highlight w:val="none"/>
                <w:lang w:eastAsia="zh-CN"/>
              </w:rPr>
              <w:t>姓名</w:t>
            </w:r>
          </w:p>
        </w:tc>
        <w:tc>
          <w:tcPr>
            <w:tcW w:w="1298" w:type="dxa"/>
            <w:vAlign w:val="center"/>
          </w:tcPr>
          <w:p>
            <w:pPr>
              <w:widowControl w:val="0"/>
              <w:adjustRightInd w:val="0"/>
              <w:snapToGrid w:val="0"/>
              <w:spacing w:beforeLines="0" w:after="0" w:afterLines="0" w:line="578" w:lineRule="exact"/>
              <w:ind w:firstLine="0" w:firstLineChars="0"/>
              <w:jc w:val="center"/>
              <w:rPr>
                <w:b/>
                <w:bCs/>
                <w:sz w:val="24"/>
                <w:szCs w:val="24"/>
                <w:highlight w:val="none"/>
                <w:lang w:eastAsia="zh-CN"/>
              </w:rPr>
            </w:pPr>
            <w:r>
              <w:rPr>
                <w:rFonts w:hint="eastAsia" w:eastAsia="仿宋_GB2312"/>
                <w:b/>
                <w:bCs/>
                <w:sz w:val="24"/>
                <w:szCs w:val="24"/>
                <w:highlight w:val="none"/>
                <w:lang w:val="en-US" w:eastAsia="zh-CN"/>
              </w:rPr>
              <w:t>工作</w:t>
            </w:r>
            <w:r>
              <w:rPr>
                <w:rFonts w:hint="eastAsia" w:eastAsia="仿宋_GB2312"/>
                <w:b/>
                <w:bCs/>
                <w:sz w:val="24"/>
                <w:szCs w:val="24"/>
                <w:highlight w:val="none"/>
                <w:lang w:eastAsia="zh-CN"/>
              </w:rPr>
              <w:t>年限</w:t>
            </w:r>
          </w:p>
        </w:tc>
        <w:tc>
          <w:tcPr>
            <w:tcW w:w="1548" w:type="dxa"/>
            <w:vAlign w:val="center"/>
          </w:tcPr>
          <w:p>
            <w:pPr>
              <w:widowControl w:val="0"/>
              <w:adjustRightInd w:val="0"/>
              <w:snapToGrid w:val="0"/>
              <w:spacing w:beforeLines="0" w:after="0" w:afterLines="0" w:line="578" w:lineRule="exact"/>
              <w:ind w:firstLine="0" w:firstLineChars="0"/>
              <w:jc w:val="center"/>
              <w:rPr>
                <w:b/>
                <w:bCs/>
                <w:sz w:val="24"/>
                <w:szCs w:val="24"/>
                <w:highlight w:val="none"/>
                <w:lang w:eastAsia="zh-CN"/>
              </w:rPr>
            </w:pPr>
            <w:r>
              <w:rPr>
                <w:rFonts w:hint="eastAsia" w:eastAsia="仿宋_GB2312"/>
                <w:b/>
                <w:bCs/>
                <w:sz w:val="24"/>
                <w:szCs w:val="24"/>
                <w:highlight w:val="none"/>
                <w:lang w:eastAsia="zh-CN"/>
              </w:rPr>
              <w:t>本项目任职</w:t>
            </w:r>
          </w:p>
        </w:tc>
        <w:tc>
          <w:tcPr>
            <w:tcW w:w="1241" w:type="dxa"/>
            <w:vAlign w:val="center"/>
          </w:tcPr>
          <w:p>
            <w:pPr>
              <w:widowControl w:val="0"/>
              <w:adjustRightInd w:val="0"/>
              <w:snapToGrid w:val="0"/>
              <w:spacing w:beforeLines="0" w:after="0" w:afterLines="0" w:line="578" w:lineRule="exact"/>
              <w:ind w:firstLine="0" w:firstLineChars="0"/>
              <w:jc w:val="center"/>
              <w:rPr>
                <w:b/>
                <w:bCs/>
                <w:sz w:val="24"/>
                <w:szCs w:val="24"/>
                <w:highlight w:val="none"/>
                <w:lang w:eastAsia="zh-CN"/>
              </w:rPr>
            </w:pPr>
            <w:r>
              <w:rPr>
                <w:rFonts w:hint="eastAsia" w:eastAsia="仿宋_GB2312"/>
                <w:b/>
                <w:bCs/>
                <w:sz w:val="24"/>
                <w:szCs w:val="24"/>
                <w:highlight w:val="none"/>
                <w:lang w:eastAsia="zh-CN"/>
              </w:rPr>
              <w:t>学历</w:t>
            </w:r>
          </w:p>
        </w:tc>
        <w:tc>
          <w:tcPr>
            <w:tcW w:w="2766" w:type="dxa"/>
            <w:vAlign w:val="center"/>
          </w:tcPr>
          <w:p>
            <w:pPr>
              <w:widowControl w:val="0"/>
              <w:adjustRightInd w:val="0"/>
              <w:snapToGrid w:val="0"/>
              <w:spacing w:beforeLines="0" w:after="0" w:afterLines="0" w:line="578" w:lineRule="exact"/>
              <w:ind w:firstLine="0" w:firstLineChars="0"/>
              <w:jc w:val="center"/>
              <w:rPr>
                <w:b/>
                <w:bCs/>
                <w:sz w:val="24"/>
                <w:szCs w:val="24"/>
                <w:highlight w:val="none"/>
                <w:lang w:eastAsia="zh-CN"/>
              </w:rPr>
            </w:pPr>
            <w:r>
              <w:rPr>
                <w:rFonts w:hint="eastAsia" w:eastAsia="仿宋_GB2312"/>
                <w:b/>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309"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298"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548"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241"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2766"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309"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298"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548"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241"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2766"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309"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298"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548"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1241"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c>
          <w:tcPr>
            <w:tcW w:w="2766" w:type="dxa"/>
            <w:vAlign w:val="center"/>
          </w:tcPr>
          <w:p>
            <w:pPr>
              <w:widowControl w:val="0"/>
              <w:adjustRightInd w:val="0"/>
              <w:snapToGrid w:val="0"/>
              <w:spacing w:beforeLines="0" w:after="0" w:afterLines="0" w:line="578" w:lineRule="exact"/>
              <w:ind w:firstLine="0" w:firstLineChars="0"/>
              <w:jc w:val="center"/>
              <w:rPr>
                <w:sz w:val="24"/>
                <w:szCs w:val="24"/>
                <w:highlight w:val="none"/>
                <w:lang w:eastAsia="zh-CN"/>
              </w:rPr>
            </w:pPr>
          </w:p>
        </w:tc>
      </w:tr>
    </w:tbl>
    <w:p>
      <w:pPr>
        <w:widowControl w:val="0"/>
        <w:adjustRightInd w:val="0"/>
        <w:snapToGrid w:val="0"/>
        <w:spacing w:beforeLines="0" w:after="0" w:afterLines="0" w:line="578" w:lineRule="exact"/>
        <w:ind w:firstLine="0" w:firstLineChars="0"/>
        <w:jc w:val="both"/>
        <w:rPr>
          <w:rFonts w:eastAsia="仿宋_GB2312"/>
          <w:sz w:val="24"/>
          <w:szCs w:val="24"/>
          <w:highlight w:val="none"/>
          <w:lang w:eastAsia="zh-CN"/>
        </w:rPr>
      </w:pPr>
      <w:r>
        <w:rPr>
          <w:rFonts w:hint="eastAsia" w:eastAsia="仿宋_GB2312"/>
          <w:sz w:val="24"/>
          <w:szCs w:val="24"/>
          <w:highlight w:val="none"/>
          <w:lang w:eastAsia="zh-CN"/>
        </w:rPr>
        <w:t>填写说明：</w:t>
      </w:r>
    </w:p>
    <w:p>
      <w:pPr>
        <w:widowControl w:val="0"/>
        <w:adjustRightInd w:val="0"/>
        <w:snapToGrid w:val="0"/>
        <w:spacing w:beforeLines="0" w:after="0" w:afterLines="0" w:line="578" w:lineRule="exact"/>
        <w:ind w:firstLine="480"/>
        <w:jc w:val="both"/>
        <w:rPr>
          <w:rFonts w:eastAsia="仿宋_GB2312"/>
          <w:sz w:val="24"/>
          <w:szCs w:val="24"/>
          <w:highlight w:val="none"/>
          <w:lang w:eastAsia="zh-CN"/>
        </w:rPr>
      </w:pPr>
      <w:r>
        <w:rPr>
          <w:rFonts w:hint="eastAsia" w:eastAsia="仿宋_GB2312"/>
          <w:sz w:val="24"/>
          <w:szCs w:val="24"/>
          <w:highlight w:val="none"/>
          <w:lang w:eastAsia="zh-CN"/>
        </w:rPr>
        <w:t>“本项目任职”分为团队负责人和其他团队成员。</w:t>
      </w:r>
    </w:p>
    <w:p>
      <w:pPr>
        <w:widowControl w:val="0"/>
        <w:adjustRightInd w:val="0"/>
        <w:snapToGrid w:val="0"/>
        <w:spacing w:beforeLines="0" w:after="0" w:afterLines="0" w:line="578" w:lineRule="exact"/>
        <w:ind w:firstLine="480"/>
        <w:jc w:val="both"/>
        <w:rPr>
          <w:rFonts w:eastAsia="仿宋_GB2312"/>
          <w:sz w:val="24"/>
          <w:szCs w:val="24"/>
          <w:highlight w:val="none"/>
          <w:lang w:eastAsia="zh-CN"/>
        </w:rPr>
      </w:pPr>
      <w:r>
        <w:rPr>
          <w:rFonts w:hint="eastAsia" w:eastAsia="仿宋_GB2312"/>
          <w:sz w:val="24"/>
          <w:szCs w:val="24"/>
          <w:highlight w:val="none"/>
          <w:lang w:eastAsia="zh-CN"/>
        </w:rPr>
        <w:t>“学历”填写最高学历。</w:t>
      </w:r>
    </w:p>
    <w:p>
      <w:pPr>
        <w:widowControl w:val="0"/>
        <w:adjustRightInd w:val="0"/>
        <w:snapToGrid w:val="0"/>
        <w:spacing w:beforeLines="0" w:after="0" w:afterLines="0" w:line="578" w:lineRule="exact"/>
        <w:ind w:firstLine="480"/>
        <w:jc w:val="both"/>
        <w:rPr>
          <w:rFonts w:eastAsia="仿宋_GB2312"/>
          <w:sz w:val="24"/>
          <w:szCs w:val="24"/>
          <w:highlight w:val="none"/>
          <w:lang w:eastAsia="zh-CN"/>
        </w:rPr>
      </w:pPr>
      <w:r>
        <w:rPr>
          <w:rFonts w:hint="eastAsia" w:eastAsia="仿宋_GB2312"/>
          <w:sz w:val="24"/>
          <w:szCs w:val="24"/>
          <w:highlight w:val="none"/>
          <w:lang w:eastAsia="zh-CN"/>
        </w:rPr>
        <w:t>“备注”中可简要说明团队成员主要从事的业务范围或其他需说明的情况。</w:t>
      </w:r>
    </w:p>
    <w:p>
      <w:pPr>
        <w:widowControl w:val="0"/>
        <w:wordWrap w:val="0"/>
        <w:adjustRightInd w:val="0"/>
        <w:snapToGrid w:val="0"/>
        <w:spacing w:beforeLines="0" w:after="0" w:afterLines="0" w:line="578" w:lineRule="exact"/>
        <w:ind w:firstLine="640"/>
        <w:jc w:val="right"/>
        <w:rPr>
          <w:rFonts w:eastAsia="仿宋_GB2312"/>
          <w:highlight w:val="none"/>
          <w:lang w:eastAsia="zh-CN"/>
        </w:rPr>
      </w:pPr>
      <w:r>
        <w:rPr>
          <w:rFonts w:hint="eastAsia" w:eastAsia="仿宋_GB2312"/>
          <w:highlight w:val="none"/>
          <w:lang w:eastAsia="zh-CN"/>
        </w:rPr>
        <w:t xml:space="preserve">申请人名称（盖章）：           </w:t>
      </w:r>
    </w:p>
    <w:p>
      <w:pPr>
        <w:widowControl w:val="0"/>
        <w:wordWrap w:val="0"/>
        <w:adjustRightInd w:val="0"/>
        <w:snapToGrid w:val="0"/>
        <w:spacing w:beforeLines="0" w:after="0" w:afterLines="0" w:line="578" w:lineRule="exact"/>
        <w:ind w:firstLine="640"/>
        <w:jc w:val="right"/>
        <w:rPr>
          <w:rFonts w:eastAsia="仿宋_GB2312"/>
          <w:highlight w:val="none"/>
          <w:lang w:eastAsia="zh-CN"/>
        </w:rPr>
      </w:pPr>
      <w:r>
        <w:rPr>
          <w:rFonts w:hint="eastAsia" w:eastAsia="仿宋_GB2312"/>
          <w:highlight w:val="none"/>
          <w:lang w:eastAsia="zh-CN"/>
        </w:rPr>
        <w:t xml:space="preserve">日期：                         </w:t>
      </w:r>
    </w:p>
    <w:p>
      <w:pPr>
        <w:pStyle w:val="15"/>
        <w:spacing w:beforeLines="0" w:afterLines="0" w:line="578" w:lineRule="exact"/>
        <w:rPr>
          <w:highlight w:val="none"/>
          <w:lang w:eastAsia="zh-CN"/>
        </w:rPr>
        <w:sectPr>
          <w:pgSz w:w="11906" w:h="16838"/>
          <w:pgMar w:top="1440" w:right="1800" w:bottom="1440" w:left="1800" w:header="851" w:footer="992" w:gutter="0"/>
          <w:pgNumType w:fmt="decimal"/>
          <w:cols w:space="425" w:num="1"/>
          <w:docGrid w:type="lines" w:linePitch="312" w:charSpace="0"/>
        </w:sectPr>
      </w:pPr>
    </w:p>
    <w:p>
      <w:pPr>
        <w:pStyle w:val="15"/>
        <w:spacing w:beforeLines="0" w:afterLines="0" w:line="578" w:lineRule="exact"/>
        <w:rPr>
          <w:rFonts w:hint="eastAsia" w:ascii="黑体" w:hAnsi="黑体" w:eastAsia="黑体" w:cs="黑体"/>
          <w:sz w:val="32"/>
          <w:szCs w:val="32"/>
          <w:highlight w:val="none"/>
          <w:lang w:eastAsia="zh-CN" w:bidi="ar-SA"/>
        </w:rPr>
      </w:pPr>
      <w:r>
        <w:rPr>
          <w:rFonts w:hint="eastAsia" w:ascii="黑体" w:hAnsi="黑体" w:eastAsia="黑体" w:cs="黑体"/>
          <w:sz w:val="32"/>
          <w:szCs w:val="32"/>
          <w:highlight w:val="none"/>
          <w:lang w:eastAsia="zh-CN" w:bidi="ar-SA"/>
        </w:rPr>
        <w:t xml:space="preserve">附件4 </w:t>
      </w:r>
    </w:p>
    <w:p>
      <w:pPr>
        <w:pStyle w:val="15"/>
        <w:spacing w:beforeLines="0" w:afterLines="0" w:line="578" w:lineRule="exact"/>
        <w:rPr>
          <w:rFonts w:hint="eastAsia" w:ascii="黑体" w:hAnsi="黑体" w:eastAsia="黑体" w:cs="黑体"/>
          <w:sz w:val="32"/>
          <w:szCs w:val="32"/>
          <w:highlight w:val="none"/>
          <w:lang w:eastAsia="zh-CN" w:bidi="ar-SA"/>
        </w:rPr>
      </w:pPr>
    </w:p>
    <w:p>
      <w:pPr>
        <w:widowControl w:val="0"/>
        <w:adjustRightInd w:val="0"/>
        <w:snapToGrid w:val="0"/>
        <w:spacing w:before="0" w:beforeLines="0" w:after="0" w:afterLines="0" w:line="578" w:lineRule="exact"/>
        <w:ind w:firstLine="0" w:firstLine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海南金财网络技术有限公司主要业务简介</w:t>
      </w:r>
    </w:p>
    <w:p>
      <w:pPr>
        <w:widowControl w:val="0"/>
        <w:adjustRightInd w:val="0"/>
        <w:snapToGrid w:val="0"/>
        <w:spacing w:before="0" w:beforeLines="0" w:after="0" w:afterLines="0" w:line="578" w:lineRule="exact"/>
        <w:ind w:firstLine="0" w:firstLineChars="0"/>
        <w:jc w:val="center"/>
        <w:rPr>
          <w:rFonts w:hint="eastAsia" w:ascii="方正小标宋简体" w:hAnsi="方正小标宋简体" w:eastAsia="方正小标宋简体" w:cs="方正小标宋简体"/>
          <w:sz w:val="44"/>
          <w:szCs w:val="44"/>
          <w:highlight w:val="none"/>
          <w:lang w:eastAsia="zh-CN"/>
        </w:rPr>
      </w:pPr>
    </w:p>
    <w:p>
      <w:pPr>
        <w:spacing w:beforeLines="0" w:after="0" w:afterLines="0" w:line="578" w:lineRule="exact"/>
        <w:ind w:firstLine="64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海南金财网络技术有限公司专注于财政领域的信息化和数字化服务，主营业务包括软件开发、信息系统应用培训和维护等。</w:t>
      </w:r>
    </w:p>
    <w:p>
      <w:pPr>
        <w:keepNext w:val="0"/>
        <w:keepLines w:val="0"/>
        <w:pageBreakBefore w:val="0"/>
        <w:widowControl w:val="0"/>
        <w:numPr>
          <w:ilvl w:val="0"/>
          <w:numId w:val="7"/>
        </w:numPr>
        <w:tabs>
          <w:tab w:val="left" w:pos="142"/>
        </w:tabs>
        <w:wordWrap/>
        <w:overflowPunct/>
        <w:topLinePunct w:val="0"/>
        <w:bidi w:val="0"/>
        <w:spacing w:beforeLines="0" w:after="0" w:afterLines="0" w:line="578" w:lineRule="exact"/>
        <w:ind w:left="794" w:hanging="154" w:firstLineChars="0"/>
        <w:jc w:val="both"/>
        <w:outlineLvl w:val="9"/>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主营业务及服务范围</w:t>
      </w:r>
    </w:p>
    <w:p>
      <w:pPr>
        <w:spacing w:beforeLines="0" w:after="0" w:afterLines="0" w:line="578"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金财公司的主营业务为预算管理一体化系统（以下简称“一体化系统”）相关开发和实施运维，业务覆盖我省各级财政以及5个跟从省（市），包括北京、四川、重庆、西藏、大连。自2019年起，公司严格遵循预算管理一体化试点方案，按照《业务规范》和《技术标准》的要求，以高定位、高标准、高质量完成了建设一体化系统的建设。</w:t>
      </w:r>
    </w:p>
    <w:p>
      <w:pPr>
        <w:spacing w:beforeLines="0" w:after="0" w:afterLines="0" w:line="578"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服务全国6个省市（海南、北京、重庆、四川、西藏、大连），覆盖431个财政区划，财政、部门、单位19.1万个用户。合作伙伴包括帆软报表、久其软件、久远银海、太极华青、云和恩墨、数字海南等多家公司。</w:t>
      </w:r>
    </w:p>
    <w:p>
      <w:pPr>
        <w:widowControl w:val="0"/>
        <w:numPr>
          <w:ilvl w:val="0"/>
          <w:numId w:val="7"/>
        </w:numPr>
        <w:tabs>
          <w:tab w:val="left" w:pos="142"/>
        </w:tabs>
        <w:spacing w:beforeLines="0" w:after="0" w:afterLines="0" w:line="578" w:lineRule="exact"/>
        <w:ind w:left="794" w:hanging="154" w:firstLineChars="0"/>
        <w:jc w:val="both"/>
        <w:outlineLvl w:val="9"/>
        <w:rPr>
          <w:rFonts w:hint="eastAsia" w:ascii="黑体" w:hAnsi="黑体" w:eastAsia="黑体" w:cs="黑体"/>
          <w:bCs w:val="0"/>
          <w:highlight w:val="none"/>
          <w:lang w:val="en-US" w:eastAsia="zh-CN"/>
        </w:rPr>
      </w:pPr>
      <w:r>
        <w:rPr>
          <w:rFonts w:hint="eastAsia" w:ascii="黑体" w:hAnsi="黑体" w:eastAsia="黑体" w:cs="黑体"/>
          <w:bCs w:val="0"/>
          <w:highlight w:val="none"/>
          <w:lang w:val="en-US" w:eastAsia="zh-CN"/>
        </w:rPr>
        <w:t>核心产品</w:t>
      </w:r>
    </w:p>
    <w:p>
      <w:pPr>
        <w:pStyle w:val="2"/>
        <w:bidi w:val="0"/>
        <w:spacing w:before="0" w:beforeLines="0" w:after="0" w:afterLines="0" w:line="578"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lang w:val="en-US" w:eastAsia="zh-CN"/>
        </w:rPr>
        <w:t>一</w:t>
      </w: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rPr>
        <w:t>预算管理一体化</w:t>
      </w:r>
    </w:p>
    <w:p>
      <w:pPr>
        <w:spacing w:beforeLines="0" w:after="0" w:afterLines="0"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整体</w:t>
      </w:r>
      <w:r>
        <w:rPr>
          <w:rFonts w:hint="eastAsia" w:ascii="仿宋_GB2312" w:hAnsi="仿宋_GB2312" w:eastAsia="仿宋_GB2312" w:cs="仿宋_GB2312"/>
          <w:sz w:val="32"/>
          <w:szCs w:val="32"/>
          <w:highlight w:val="none"/>
        </w:rPr>
        <w:t>设计理念与业务规范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技术标准相</w:t>
      </w:r>
      <w:r>
        <w:rPr>
          <w:rFonts w:hint="eastAsia" w:ascii="仿宋_GB2312" w:hAnsi="仿宋_GB2312" w:eastAsia="仿宋_GB2312" w:cs="仿宋_GB2312"/>
          <w:sz w:val="32"/>
          <w:szCs w:val="32"/>
          <w:highlight w:val="none"/>
        </w:rPr>
        <w:t>契合，</w:t>
      </w:r>
      <w:r>
        <w:rPr>
          <w:rFonts w:hint="eastAsia" w:ascii="仿宋_GB2312" w:hAnsi="仿宋_GB2312" w:eastAsia="仿宋_GB2312" w:cs="仿宋_GB2312"/>
          <w:sz w:val="32"/>
          <w:szCs w:val="32"/>
          <w:highlight w:val="none"/>
          <w:lang w:val="en-US" w:eastAsia="zh-CN"/>
        </w:rPr>
        <w:t>财政核心业务严丝合缝，</w:t>
      </w:r>
      <w:r>
        <w:rPr>
          <w:rFonts w:hint="eastAsia" w:ascii="仿宋_GB2312" w:hAnsi="仿宋_GB2312" w:eastAsia="仿宋_GB2312" w:cs="仿宋_GB2312"/>
          <w:sz w:val="32"/>
          <w:szCs w:val="32"/>
          <w:highlight w:val="none"/>
        </w:rPr>
        <w:t>实现</w:t>
      </w:r>
      <w:r>
        <w:rPr>
          <w:rFonts w:hint="eastAsia" w:ascii="仿宋_GB2312" w:hAnsi="仿宋_GB2312" w:eastAsia="仿宋_GB2312" w:cs="仿宋_GB2312"/>
          <w:sz w:val="32"/>
          <w:szCs w:val="32"/>
          <w:highlight w:val="none"/>
          <w:lang w:val="en-US" w:eastAsia="zh-CN"/>
        </w:rPr>
        <w:t>预算</w:t>
      </w:r>
      <w:r>
        <w:rPr>
          <w:rFonts w:hint="eastAsia" w:ascii="仿宋_GB2312" w:hAnsi="仿宋_GB2312" w:eastAsia="仿宋_GB2312" w:cs="仿宋_GB2312"/>
          <w:sz w:val="32"/>
          <w:szCs w:val="32"/>
          <w:highlight w:val="none"/>
        </w:rPr>
        <w:t>资金全生命周期</w:t>
      </w:r>
      <w:r>
        <w:rPr>
          <w:rFonts w:hint="eastAsia" w:ascii="仿宋_GB2312" w:hAnsi="仿宋_GB2312" w:eastAsia="仿宋_GB2312" w:cs="仿宋_GB2312"/>
          <w:sz w:val="32"/>
          <w:szCs w:val="32"/>
          <w:highlight w:val="none"/>
          <w:lang w:val="en-US" w:eastAsia="zh-CN"/>
        </w:rPr>
        <w:t>追踪</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满足全面</w:t>
      </w:r>
      <w:r>
        <w:rPr>
          <w:rFonts w:hint="eastAsia" w:ascii="仿宋_GB2312" w:hAnsi="仿宋_GB2312" w:eastAsia="仿宋_GB2312" w:cs="仿宋_GB2312"/>
          <w:sz w:val="32"/>
          <w:szCs w:val="32"/>
          <w:highlight w:val="none"/>
        </w:rPr>
        <w:t>绩效</w:t>
      </w:r>
      <w:r>
        <w:rPr>
          <w:rFonts w:hint="eastAsia" w:ascii="仿宋_GB2312" w:hAnsi="仿宋_GB2312" w:eastAsia="仿宋_GB2312" w:cs="仿宋_GB2312"/>
          <w:sz w:val="32"/>
          <w:szCs w:val="32"/>
          <w:highlight w:val="none"/>
          <w:lang w:val="en-US" w:eastAsia="zh-CN"/>
        </w:rPr>
        <w:t>管理要求</w:t>
      </w:r>
      <w:r>
        <w:rPr>
          <w:rFonts w:hint="eastAsia" w:ascii="仿宋_GB2312" w:hAnsi="仿宋_GB2312" w:eastAsia="仿宋_GB2312" w:cs="仿宋_GB2312"/>
          <w:sz w:val="32"/>
          <w:szCs w:val="32"/>
          <w:highlight w:val="none"/>
          <w:lang w:eastAsia="zh-CN"/>
        </w:rPr>
        <w:t>。</w:t>
      </w:r>
    </w:p>
    <w:p>
      <w:pPr>
        <w:spacing w:beforeLines="0" w:after="0" w:afterLines="0"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突出</w:t>
      </w:r>
      <w:r>
        <w:rPr>
          <w:rFonts w:hint="eastAsia" w:ascii="仿宋_GB2312" w:hAnsi="仿宋_GB2312" w:eastAsia="仿宋_GB2312" w:cs="仿宋_GB2312"/>
          <w:sz w:val="32"/>
          <w:szCs w:val="32"/>
          <w:highlight w:val="none"/>
        </w:rPr>
        <w:t>顶层设计“一体化”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财政数据“大集中”</w:t>
      </w:r>
      <w:r>
        <w:rPr>
          <w:rFonts w:hint="eastAsia" w:ascii="仿宋_GB2312" w:hAnsi="仿宋_GB2312" w:eastAsia="仿宋_GB2312" w:cs="仿宋_GB2312"/>
          <w:sz w:val="32"/>
          <w:szCs w:val="32"/>
          <w:highlight w:val="none"/>
          <w:lang w:val="en-US" w:eastAsia="zh-CN"/>
        </w:rPr>
        <w:t>模式下，</w:t>
      </w:r>
      <w:r>
        <w:rPr>
          <w:rFonts w:hint="eastAsia" w:ascii="仿宋_GB2312" w:hAnsi="仿宋_GB2312" w:eastAsia="仿宋_GB2312" w:cs="仿宋_GB2312"/>
          <w:sz w:val="32"/>
          <w:szCs w:val="32"/>
          <w:highlight w:val="none"/>
        </w:rPr>
        <w:t>一个控制中心，一本“总账”</w:t>
      </w:r>
      <w:r>
        <w:rPr>
          <w:rFonts w:hint="eastAsia" w:ascii="仿宋_GB2312" w:hAnsi="仿宋_GB2312" w:eastAsia="仿宋_GB2312" w:cs="仿宋_GB2312"/>
          <w:sz w:val="32"/>
          <w:szCs w:val="32"/>
          <w:highlight w:val="none"/>
          <w:lang w:val="en-US" w:eastAsia="zh-CN"/>
        </w:rPr>
        <w:t>的特点</w:t>
      </w:r>
      <w:r>
        <w:rPr>
          <w:rFonts w:hint="eastAsia" w:ascii="仿宋_GB2312" w:hAnsi="仿宋_GB2312" w:eastAsia="仿宋_GB2312" w:cs="仿宋_GB2312"/>
          <w:sz w:val="32"/>
          <w:szCs w:val="32"/>
          <w:highlight w:val="none"/>
        </w:rPr>
        <w:t>。</w:t>
      </w:r>
    </w:p>
    <w:p>
      <w:pPr>
        <w:spacing w:beforeLines="0" w:after="0" w:afterLines="0"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支持</w:t>
      </w:r>
      <w:r>
        <w:rPr>
          <w:rFonts w:hint="eastAsia" w:ascii="仿宋_GB2312" w:hAnsi="仿宋_GB2312" w:eastAsia="仿宋_GB2312" w:cs="仿宋_GB2312"/>
          <w:sz w:val="32"/>
          <w:szCs w:val="32"/>
          <w:highlight w:val="none"/>
        </w:rPr>
        <w:t>横向到边、纵向到底，</w:t>
      </w:r>
      <w:r>
        <w:rPr>
          <w:rFonts w:hint="eastAsia" w:ascii="仿宋_GB2312" w:hAnsi="仿宋_GB2312" w:eastAsia="仿宋_GB2312" w:cs="仿宋_GB2312"/>
          <w:sz w:val="32"/>
          <w:szCs w:val="32"/>
          <w:highlight w:val="none"/>
          <w:lang w:val="en-US" w:eastAsia="zh-CN"/>
        </w:rPr>
        <w:t>中央、省、市、县（区）、乡五级贯通，</w:t>
      </w:r>
      <w:r>
        <w:rPr>
          <w:rFonts w:hint="eastAsia" w:ascii="仿宋_GB2312" w:hAnsi="仿宋_GB2312" w:eastAsia="仿宋_GB2312" w:cs="仿宋_GB2312"/>
          <w:sz w:val="32"/>
          <w:szCs w:val="32"/>
          <w:highlight w:val="none"/>
        </w:rPr>
        <w:t>资金流、信息流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自上而下，自下而上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双向追溯</w:t>
      </w:r>
      <w:r>
        <w:rPr>
          <w:rFonts w:hint="eastAsia" w:ascii="仿宋_GB2312" w:hAnsi="仿宋_GB2312" w:eastAsia="仿宋_GB2312" w:cs="仿宋_GB2312"/>
          <w:sz w:val="32"/>
          <w:szCs w:val="32"/>
          <w:highlight w:val="none"/>
        </w:rPr>
        <w:t>。</w:t>
      </w:r>
    </w:p>
    <w:p>
      <w:pPr>
        <w:pStyle w:val="2"/>
        <w:bidi w:val="0"/>
        <w:spacing w:before="0" w:beforeLines="0" w:after="0" w:afterLines="0" w:line="578"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lang w:val="en-US" w:eastAsia="zh-CN"/>
        </w:rPr>
        <w:t>二</w:t>
      </w: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rPr>
        <w:t>其他核心产品</w:t>
      </w:r>
    </w:p>
    <w:p>
      <w:pPr>
        <w:spacing w:beforeLines="0" w:after="0" w:afterLines="0"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一是</w:t>
      </w:r>
      <w:r>
        <w:rPr>
          <w:rFonts w:hint="eastAsia" w:ascii="仿宋_GB2312" w:hAnsi="仿宋_GB2312" w:eastAsia="仿宋_GB2312" w:cs="仿宋_GB2312"/>
          <w:sz w:val="32"/>
          <w:szCs w:val="32"/>
          <w:highlight w:val="none"/>
        </w:rPr>
        <w:t>工资统发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人员管理大集中，将人员信息、工资数据、发放过程全监控。</w:t>
      </w:r>
    </w:p>
    <w:p>
      <w:pPr>
        <w:spacing w:beforeLines="0" w:after="0" w:afterLines="0"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二是</w:t>
      </w:r>
      <w:r>
        <w:rPr>
          <w:rFonts w:hint="eastAsia" w:ascii="仿宋_GB2312" w:hAnsi="仿宋_GB2312" w:eastAsia="仿宋_GB2312" w:cs="仿宋_GB2312"/>
          <w:sz w:val="32"/>
          <w:szCs w:val="32"/>
          <w:highlight w:val="none"/>
        </w:rPr>
        <w:t>公务报账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实行报账票据电子化，统一报账申请表单，嵌入费用控制标准，规范公务报账行为。</w:t>
      </w:r>
    </w:p>
    <w:p>
      <w:pPr>
        <w:spacing w:beforeLines="0" w:after="0" w:afterLines="0"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三是一卡通</w:t>
      </w:r>
      <w:r>
        <w:rPr>
          <w:rFonts w:hint="eastAsia" w:ascii="仿宋_GB2312" w:hAnsi="仿宋_GB2312" w:eastAsia="仿宋_GB2312" w:cs="仿宋_GB2312"/>
          <w:sz w:val="32"/>
          <w:szCs w:val="32"/>
          <w:highlight w:val="none"/>
          <w:lang w:eastAsia="zh-CN"/>
        </w:rPr>
        <w:t>。构建统一的补贴清单、规范补贴项目设置、通过一体化电子发放、统一公开公示平台。</w:t>
      </w:r>
    </w:p>
    <w:p>
      <w:pPr>
        <w:spacing w:beforeLines="0" w:after="0" w:afterLines="0" w:line="578"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四是会计建账</w:t>
      </w:r>
      <w:r>
        <w:rPr>
          <w:rFonts w:hint="eastAsia" w:ascii="仿宋_GB2312" w:hAnsi="仿宋_GB2312" w:eastAsia="仿宋_GB2312" w:cs="仿宋_GB2312"/>
          <w:sz w:val="32"/>
          <w:szCs w:val="32"/>
          <w:highlight w:val="none"/>
          <w:lang w:eastAsia="zh-CN"/>
        </w:rPr>
        <w:t>。规范会计建账工作，提高会计信息质量，维护会计工作秩序，业务范围涵盖建账激活、变更登记、备案登记、状态申诉、账簿申领、建议记账等。</w:t>
      </w:r>
    </w:p>
    <w:p>
      <w:pPr>
        <w:pStyle w:val="2"/>
        <w:spacing w:before="0" w:beforeLines="0" w:after="0" w:afterLines="0" w:line="578" w:lineRule="exact"/>
        <w:rPr>
          <w:rFonts w:hint="eastAsia" w:ascii="仿宋_GB2312" w:hAnsi="仿宋_GB2312" w:eastAsia="仿宋_GB2312" w:cs="仿宋_GB2312"/>
          <w:sz w:val="32"/>
          <w:szCs w:val="32"/>
          <w:highlight w:val="none"/>
          <w:lang w:eastAsia="zh-CN"/>
        </w:rPr>
      </w:pPr>
    </w:p>
    <w:p>
      <w:pPr>
        <w:spacing w:beforeLines="0" w:after="0" w:afterLines="0" w:line="578" w:lineRule="exact"/>
        <w:rPr>
          <w:rFonts w:hint="eastAsia" w:ascii="仿宋_GB2312" w:hAnsi="仿宋_GB2312" w:eastAsia="仿宋_GB2312" w:cs="仿宋_GB2312"/>
          <w:sz w:val="32"/>
          <w:szCs w:val="32"/>
          <w:highlight w:val="none"/>
          <w:lang w:eastAsia="zh-CN"/>
        </w:rPr>
      </w:pPr>
    </w:p>
    <w:p>
      <w:pPr>
        <w:pStyle w:val="2"/>
        <w:spacing w:before="0" w:beforeLines="0" w:after="0" w:afterLines="0" w:line="578" w:lineRule="exact"/>
        <w:rPr>
          <w:rFonts w:hint="eastAsia" w:ascii="仿宋_GB2312" w:hAnsi="仿宋_GB2312" w:eastAsia="仿宋_GB2312" w:cs="仿宋_GB2312"/>
          <w:sz w:val="32"/>
          <w:szCs w:val="32"/>
          <w:highlight w:val="none"/>
          <w:lang w:eastAsia="zh-CN"/>
        </w:rPr>
      </w:pPr>
    </w:p>
    <w:p>
      <w:pPr>
        <w:spacing w:beforeLines="0" w:after="0" w:afterLines="0" w:line="578" w:lineRule="exact"/>
        <w:rPr>
          <w:rFonts w:hint="eastAsia" w:ascii="仿宋_GB2312" w:hAnsi="仿宋_GB2312" w:eastAsia="仿宋_GB2312" w:cs="仿宋_GB2312"/>
          <w:sz w:val="32"/>
          <w:szCs w:val="32"/>
          <w:highlight w:val="none"/>
          <w:lang w:eastAsia="zh-CN"/>
        </w:rPr>
      </w:pPr>
    </w:p>
    <w:p>
      <w:pPr>
        <w:pStyle w:val="2"/>
        <w:spacing w:before="0" w:beforeLines="0" w:after="0" w:afterLines="0" w:line="578" w:lineRule="exact"/>
        <w:rPr>
          <w:rFonts w:hint="eastAsia" w:ascii="仿宋_GB2312" w:hAnsi="仿宋_GB2312" w:eastAsia="仿宋_GB2312" w:cs="仿宋_GB2312"/>
          <w:sz w:val="32"/>
          <w:szCs w:val="32"/>
          <w:highlight w:val="none"/>
          <w:lang w:eastAsia="zh-CN"/>
        </w:rPr>
      </w:pPr>
    </w:p>
    <w:p>
      <w:pPr>
        <w:pStyle w:val="2"/>
        <w:spacing w:before="0" w:beforeLines="0" w:after="0" w:afterLines="0" w:line="578" w:lineRule="exact"/>
        <w:rPr>
          <w:rFonts w:hint="eastAsia" w:ascii="仿宋_GB2312" w:hAnsi="仿宋_GB2312" w:eastAsia="仿宋_GB2312" w:cs="仿宋_GB2312"/>
          <w:sz w:val="32"/>
          <w:szCs w:val="32"/>
          <w:highlight w:val="none"/>
          <w:lang w:eastAsia="zh-CN"/>
        </w:rPr>
      </w:pPr>
    </w:p>
    <w:p>
      <w:pPr>
        <w:pStyle w:val="2"/>
        <w:spacing w:before="0" w:beforeLines="0" w:after="0" w:afterLines="0" w:line="578" w:lineRule="exact"/>
        <w:rPr>
          <w:rFonts w:hint="eastAsia" w:ascii="仿宋_GB2312" w:hAnsi="仿宋_GB2312" w:eastAsia="仿宋_GB2312" w:cs="仿宋_GB2312"/>
          <w:sz w:val="32"/>
          <w:szCs w:val="32"/>
          <w:highlight w:val="none"/>
          <w:lang w:eastAsia="zh-CN"/>
        </w:rPr>
      </w:pPr>
    </w:p>
    <w:p>
      <w:pPr>
        <w:pStyle w:val="2"/>
        <w:spacing w:before="0" w:beforeLines="0" w:after="0" w:afterLines="0" w:line="578" w:lineRule="exact"/>
        <w:rPr>
          <w:rFonts w:hint="eastAsia" w:ascii="仿宋_GB2312" w:hAnsi="仿宋_GB2312" w:eastAsia="仿宋_GB2312" w:cs="仿宋_GB2312"/>
          <w:sz w:val="32"/>
          <w:szCs w:val="32"/>
          <w:highlight w:val="none"/>
          <w:lang w:eastAsia="zh-CN"/>
        </w:rPr>
      </w:pPr>
    </w:p>
    <w:p>
      <w:pPr>
        <w:pStyle w:val="2"/>
        <w:spacing w:before="0" w:beforeLines="0" w:after="0" w:afterLines="0" w:line="578" w:lineRule="exact"/>
        <w:rPr>
          <w:rFonts w:hint="eastAsia" w:ascii="仿宋_GB2312" w:hAnsi="仿宋_GB2312" w:eastAsia="仿宋_GB2312" w:cs="仿宋_GB2312"/>
          <w:sz w:val="32"/>
          <w:szCs w:val="32"/>
          <w:highlight w:val="none"/>
          <w:lang w:eastAsia="zh-CN"/>
        </w:rPr>
      </w:pPr>
    </w:p>
    <w:p>
      <w:pPr>
        <w:pStyle w:val="15"/>
        <w:spacing w:beforeLines="0" w:afterLines="0" w:line="578" w:lineRule="exact"/>
        <w:rPr>
          <w:rFonts w:hint="eastAsia" w:ascii="黑体" w:hAnsi="黑体" w:eastAsia="黑体" w:cs="黑体"/>
          <w:sz w:val="32"/>
          <w:szCs w:val="32"/>
          <w:highlight w:val="none"/>
          <w:lang w:val="en-US" w:eastAsia="zh-CN" w:bidi="ar-SA"/>
        </w:rPr>
      </w:pPr>
      <w:r>
        <w:rPr>
          <w:rFonts w:hint="eastAsia" w:ascii="黑体" w:hAnsi="黑体" w:eastAsia="黑体" w:cs="黑体"/>
          <w:sz w:val="32"/>
          <w:szCs w:val="32"/>
          <w:highlight w:val="none"/>
          <w:lang w:val="en-US" w:eastAsia="zh-CN" w:bidi="ar-SA"/>
        </w:rPr>
        <w:t>附件5</w:t>
      </w:r>
    </w:p>
    <w:p>
      <w:pPr>
        <w:pStyle w:val="15"/>
        <w:spacing w:beforeLines="0" w:afterLines="0" w:line="578" w:lineRule="exact"/>
        <w:rPr>
          <w:rFonts w:hint="eastAsia" w:ascii="黑体" w:hAnsi="黑体" w:eastAsia="黑体" w:cs="黑体"/>
          <w:sz w:val="32"/>
          <w:szCs w:val="32"/>
          <w:highlight w:val="none"/>
          <w:lang w:val="en-US" w:eastAsia="zh-CN" w:bidi="ar-SA"/>
        </w:rPr>
      </w:pPr>
    </w:p>
    <w:p>
      <w:pPr>
        <w:widowControl w:val="0"/>
        <w:adjustRightInd w:val="0"/>
        <w:snapToGrid w:val="0"/>
        <w:spacing w:before="0" w:beforeLines="0" w:after="0" w:afterLines="0" w:line="578" w:lineRule="exact"/>
        <w:ind w:firstLine="0" w:firstLineChars="0"/>
        <w:jc w:val="center"/>
        <w:rPr>
          <w:rFonts w:hint="eastAsia" w:ascii="方正小标宋简体" w:hAnsi="方正小标宋简体" w:eastAsia="方正小标宋简体" w:cs="方正小标宋简体"/>
          <w:b w:val="0"/>
          <w:sz w:val="44"/>
          <w:szCs w:val="44"/>
          <w:highlight w:val="none"/>
          <w:lang w:val="en-US" w:eastAsia="zh-CN" w:bidi="ar-SA"/>
        </w:rPr>
      </w:pPr>
      <w:r>
        <w:rPr>
          <w:rFonts w:hint="eastAsia" w:ascii="方正小标宋简体" w:hAnsi="方正小标宋简体" w:eastAsia="方正小标宋简体" w:cs="方正小标宋简体"/>
          <w:b w:val="0"/>
          <w:color w:val="auto"/>
          <w:sz w:val="44"/>
          <w:szCs w:val="44"/>
          <w:highlight w:val="none"/>
          <w:lang w:val="en-US" w:eastAsia="zh-CN" w:bidi="ar-SA"/>
        </w:rPr>
        <w:t>供应商评价标准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8"/>
          <w:szCs w:val="28"/>
          <w:highlight w:val="none"/>
          <w:vertAlign w:val="baseline"/>
          <w:lang w:val="en-US" w:eastAsia="zh-CN"/>
        </w:rPr>
      </w:pPr>
      <w:r>
        <w:rPr>
          <w:rFonts w:hint="eastAsia" w:ascii="仿宋_GB2312" w:hAnsi="仿宋_GB2312" w:eastAsia="仿宋_GB2312" w:cs="仿宋_GB2312"/>
          <w:b/>
          <w:bCs w:val="0"/>
          <w:color w:val="auto"/>
          <w:sz w:val="28"/>
          <w:szCs w:val="28"/>
          <w:highlight w:val="none"/>
          <w:vertAlign w:val="baseline"/>
          <w:lang w:val="en-US" w:eastAsia="zh-CN"/>
        </w:rPr>
        <w:t>软件产品服务类供应商评价标准</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38"/>
        <w:gridCol w:w="3758"/>
        <w:gridCol w:w="1232"/>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3"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序号</w:t>
            </w:r>
          </w:p>
        </w:tc>
        <w:tc>
          <w:tcPr>
            <w:tcW w:w="84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评分内容</w:t>
            </w:r>
          </w:p>
        </w:tc>
        <w:tc>
          <w:tcPr>
            <w:tcW w:w="2205"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评分标准</w:t>
            </w:r>
          </w:p>
        </w:tc>
        <w:tc>
          <w:tcPr>
            <w:tcW w:w="72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证明材料</w:t>
            </w:r>
          </w:p>
        </w:tc>
        <w:tc>
          <w:tcPr>
            <w:tcW w:w="72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kern w:val="2"/>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4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kern w:val="2"/>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企业综合实力（15分）</w:t>
            </w:r>
          </w:p>
        </w:tc>
        <w:tc>
          <w:tcPr>
            <w:tcW w:w="220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（1）供应商具备财政相关系统软件著作权登记证书，得5分，没有得0分。</w:t>
            </w:r>
          </w:p>
          <w:p>
            <w:pPr>
              <w:keepNext w:val="0"/>
              <w:keepLines w:val="0"/>
              <w:widowControl w:val="0"/>
              <w:numPr>
                <w:ilvl w:val="0"/>
                <w:numId w:val="0"/>
              </w:numPr>
              <w:suppressLineNumbers w:val="0"/>
              <w:spacing w:before="0" w:beforeLines="0" w:beforeAutospacing="0" w:after="0" w:afterLines="0" w:afterAutospacing="0" w:line="400" w:lineRule="exact"/>
              <w:ind w:left="0" w:right="0"/>
              <w:contextualSpacing/>
              <w:jc w:val="both"/>
              <w:outlineLvl w:val="1"/>
              <w:rPr>
                <w:rFonts w:hint="eastAsia" w:ascii="仿宋_GB2312" w:hAnsi="仿宋_GB2312" w:eastAsia="仿宋_GB2312" w:cs="仿宋_GB2312"/>
                <w:b w:val="0"/>
                <w:bCs/>
                <w:color w:val="auto"/>
                <w:kern w:val="0"/>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kern w:val="0"/>
                <w:sz w:val="24"/>
                <w:szCs w:val="24"/>
                <w:highlight w:val="none"/>
                <w:lang w:val="en-US" w:eastAsia="zh-CN"/>
              </w:rPr>
              <w:t>具备软件成熟度CMMI3证书（含以上 ）、数据管理能力成熟度等级DCMM2（含以上）、中国电子信息行业联合会颁发的信息系统建设和服务能力等级 CS 2（含以上）、中国电子工业标准化技术协会颁发的ITSS成熟性等级三级（含以上），满足其中一项得5分。</w:t>
            </w:r>
          </w:p>
          <w:p>
            <w:pPr>
              <w:widowControl w:val="0"/>
              <w:numPr>
                <w:ilvl w:val="0"/>
                <w:numId w:val="0"/>
              </w:numPr>
              <w:spacing w:before="0" w:beforeLines="0" w:after="0" w:afterLines="0" w:line="400" w:lineRule="exact"/>
              <w:contextualSpacing/>
              <w:jc w:val="both"/>
              <w:outlineLvl w:val="1"/>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具有ISO27001信息安全管理体系认证、ISO20000信息技术服务管理体系认证书、IS09001质量管理体系认证证书、ISO14001环境管理体系认证证书、ISO45001职业健康安全管理体系认证证书、ISO22301业务连续性认证证书，满足其中一项得5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both"/>
              <w:textAlignment w:val="auto"/>
              <w:outlineLvl w:val="1"/>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注：提供有效期内的证书复印件并加盖公章。</w:t>
            </w:r>
          </w:p>
        </w:tc>
        <w:tc>
          <w:tcPr>
            <w:tcW w:w="72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Cs w:val="24"/>
                <w:highlight w:val="none"/>
                <w:lang w:val="en-US" w:eastAsia="zh-CN"/>
              </w:rPr>
              <w:t>证书复印件</w:t>
            </w:r>
          </w:p>
        </w:tc>
        <w:tc>
          <w:tcPr>
            <w:tcW w:w="72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4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企业服务能力（10分）</w:t>
            </w:r>
          </w:p>
        </w:tc>
        <w:tc>
          <w:tcPr>
            <w:tcW w:w="2205" w:type="pct"/>
            <w:vAlign w:val="center"/>
          </w:tcPr>
          <w:p>
            <w:pPr>
              <w:widowControl w:val="0"/>
              <w:spacing w:beforeLines="0" w:after="0" w:afterLines="0"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color w:val="auto"/>
                <w:sz w:val="24"/>
                <w:szCs w:val="24"/>
                <w:highlight w:val="none"/>
                <w:vertAlign w:val="baseline"/>
                <w:lang w:val="en-US" w:eastAsia="zh-CN" w:bidi="ar-SA"/>
              </w:rPr>
              <w:t>根据企业成立时间（</w:t>
            </w:r>
            <w:r>
              <w:rPr>
                <w:rFonts w:hint="eastAsia" w:ascii="仿宋_GB2312" w:hAnsi="仿宋_GB2312" w:eastAsia="仿宋_GB2312" w:cs="仿宋_GB2312"/>
                <w:bCs/>
                <w:color w:val="auto"/>
                <w:sz w:val="24"/>
                <w:szCs w:val="24"/>
                <w:highlight w:val="none"/>
                <w:lang w:eastAsia="zh-CN"/>
              </w:rPr>
              <w:t>须</w:t>
            </w:r>
            <w:r>
              <w:rPr>
                <w:rFonts w:hint="eastAsia" w:ascii="仿宋_GB2312" w:hAnsi="仿宋_GB2312" w:eastAsia="仿宋_GB2312" w:cs="仿宋_GB2312"/>
                <w:b w:val="0"/>
                <w:bCs/>
                <w:color w:val="auto"/>
                <w:sz w:val="24"/>
                <w:szCs w:val="24"/>
                <w:highlight w:val="none"/>
                <w:vertAlign w:val="baseline"/>
                <w:lang w:val="en-US" w:eastAsia="zh-CN" w:bidi="ar-SA"/>
              </w:rPr>
              <w:t>满2年）、企业管理服务能力、技术及产品实力、业务方向与申报类别的匹配程度进行判断。其中配程度高的得分：8-10分，匹配程度较高的得分：4-7分，匹配程度较差的得分：0-3。</w:t>
            </w:r>
          </w:p>
        </w:tc>
        <w:tc>
          <w:tcPr>
            <w:tcW w:w="721" w:type="pct"/>
            <w:vAlign w:val="center"/>
          </w:tcPr>
          <w:p>
            <w:pPr>
              <w:widowControl w:val="0"/>
              <w:spacing w:beforeLines="0" w:after="0" w:afterLines="0" w:line="400" w:lineRule="exact"/>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color w:val="auto"/>
                <w:sz w:val="24"/>
                <w:szCs w:val="24"/>
                <w:highlight w:val="none"/>
                <w:vertAlign w:val="baseline"/>
                <w:lang w:val="en-US" w:eastAsia="zh-CN" w:bidi="ar-SA"/>
              </w:rPr>
              <w:t>企业情况介绍</w:t>
            </w:r>
          </w:p>
        </w:tc>
        <w:tc>
          <w:tcPr>
            <w:tcW w:w="724" w:type="pct"/>
            <w:vAlign w:val="center"/>
          </w:tcPr>
          <w:p>
            <w:pPr>
              <w:widowControl w:val="0"/>
              <w:spacing w:beforeLines="0" w:after="0" w:afterLines="0" w:line="578" w:lineRule="exact"/>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84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服务团队要求（20分）</w:t>
            </w:r>
          </w:p>
        </w:tc>
        <w:tc>
          <w:tcPr>
            <w:tcW w:w="2205"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Cs w:val="24"/>
                <w:highlight w:val="none"/>
                <w:lang w:val="en-US"/>
              </w:rPr>
              <w:t>依据团队成员工作年限、分工合理性，以及其从业经验与背景是否契合申报类别要求进行评判。</w:t>
            </w:r>
            <w:r>
              <w:rPr>
                <w:rFonts w:hint="eastAsia" w:ascii="仿宋_GB2312" w:hAnsi="仿宋_GB2312" w:eastAsia="仿宋_GB2312" w:cs="仿宋_GB2312"/>
                <w:b w:val="0"/>
                <w:bCs/>
                <w:color w:val="auto"/>
                <w:sz w:val="24"/>
                <w:szCs w:val="24"/>
                <w:highlight w:val="none"/>
                <w:vertAlign w:val="baseline"/>
                <w:lang w:val="en-US" w:eastAsia="zh-CN" w:bidi="ar-SA"/>
              </w:rPr>
              <w:t>其中团队契合度高的得分：16-20分，团队契合度较高的得分：11-15分，团队契合度较差的得分：0-10分。</w:t>
            </w:r>
          </w:p>
        </w:tc>
        <w:tc>
          <w:tcPr>
            <w:tcW w:w="72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团队成员简历及分工说明</w:t>
            </w:r>
          </w:p>
        </w:tc>
        <w:tc>
          <w:tcPr>
            <w:tcW w:w="72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84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服务方案（30分）</w:t>
            </w:r>
          </w:p>
        </w:tc>
        <w:tc>
          <w:tcPr>
            <w:tcW w:w="2205"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left"/>
              <w:textAlignment w:val="auto"/>
              <w:outlineLvl w:val="1"/>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依据所提供的财政及单位端系统产品架构设计方案、典型应用案例展示、安全防护措施等方面的详实与准确程度。系统架构设计方案、典型应用案例展示、系统安全方案等。其中供应商提供的方案合理、详细、准确程度高的得分：21</w:t>
            </w:r>
            <w:r>
              <w:rPr>
                <w:rFonts w:hint="eastAsia" w:ascii="仿宋_GB2312" w:hAnsi="仿宋_GB2312" w:eastAsia="仿宋_GB2312" w:cs="仿宋_GB2312"/>
                <w:b w:val="0"/>
                <w:bCs/>
                <w:color w:val="auto"/>
                <w:sz w:val="24"/>
                <w:szCs w:val="24"/>
                <w:highlight w:val="none"/>
                <w:vertAlign w:val="baseline"/>
                <w:lang w:val="en-US" w:eastAsia="zh-CN" w:bidi="ar-SA"/>
              </w:rPr>
              <w:t>-30分</w:t>
            </w:r>
            <w:r>
              <w:rPr>
                <w:rFonts w:hint="eastAsia" w:ascii="仿宋_GB2312" w:hAnsi="仿宋_GB2312" w:eastAsia="仿宋_GB2312" w:cs="仿宋_GB2312"/>
                <w:b w:val="0"/>
                <w:bCs/>
                <w:color w:val="auto"/>
                <w:sz w:val="24"/>
                <w:szCs w:val="24"/>
                <w:highlight w:val="none"/>
                <w:lang w:val="en-US" w:eastAsia="zh-CN"/>
              </w:rPr>
              <w:t>。供应商提供的方案合理、详细、准确程度较高的得分：</w:t>
            </w:r>
            <w:r>
              <w:rPr>
                <w:rFonts w:hint="eastAsia" w:ascii="仿宋_GB2312" w:hAnsi="仿宋_GB2312" w:eastAsia="仿宋_GB2312" w:cs="仿宋_GB2312"/>
                <w:b w:val="0"/>
                <w:bCs/>
                <w:color w:val="auto"/>
                <w:sz w:val="24"/>
                <w:szCs w:val="24"/>
                <w:highlight w:val="none"/>
                <w:vertAlign w:val="baseline"/>
                <w:lang w:val="en-US" w:eastAsia="zh-CN" w:bidi="ar-SA"/>
              </w:rPr>
              <w:t>11-20分。</w:t>
            </w:r>
            <w:r>
              <w:rPr>
                <w:rFonts w:hint="eastAsia" w:ascii="仿宋_GB2312" w:hAnsi="仿宋_GB2312" w:eastAsia="仿宋_GB2312" w:cs="仿宋_GB2312"/>
                <w:b w:val="0"/>
                <w:bCs/>
                <w:color w:val="auto"/>
                <w:sz w:val="24"/>
                <w:szCs w:val="24"/>
                <w:highlight w:val="none"/>
                <w:lang w:val="en-US" w:eastAsia="zh-CN"/>
              </w:rPr>
              <w:t>供应商提供的方案合理、详细、准确程度较差的得分：</w:t>
            </w:r>
            <w:r>
              <w:rPr>
                <w:rFonts w:hint="eastAsia" w:ascii="仿宋_GB2312" w:hAnsi="仿宋_GB2312" w:eastAsia="仿宋_GB2312" w:cs="仿宋_GB2312"/>
                <w:b w:val="0"/>
                <w:bCs/>
                <w:color w:val="auto"/>
                <w:sz w:val="24"/>
                <w:szCs w:val="24"/>
                <w:highlight w:val="none"/>
                <w:vertAlign w:val="baseline"/>
                <w:lang w:val="en-US" w:eastAsia="zh-CN" w:bidi="ar-SA"/>
              </w:rPr>
              <w:t>0-10分。</w:t>
            </w:r>
          </w:p>
        </w:tc>
        <w:tc>
          <w:tcPr>
            <w:tcW w:w="72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系统架构设计方案、典型应用案例展示、系统安全方案等</w:t>
            </w:r>
          </w:p>
        </w:tc>
        <w:tc>
          <w:tcPr>
            <w:tcW w:w="72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84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业绩要求（25分）</w:t>
            </w:r>
          </w:p>
        </w:tc>
        <w:tc>
          <w:tcPr>
            <w:tcW w:w="2205"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Cs w:val="24"/>
                <w:highlight w:val="none"/>
                <w:lang w:val="en-US"/>
              </w:rPr>
            </w:pPr>
            <w:r>
              <w:rPr>
                <w:rFonts w:hint="eastAsia" w:ascii="仿宋_GB2312" w:hAnsi="仿宋_GB2312" w:eastAsia="仿宋_GB2312" w:cs="仿宋_GB2312"/>
                <w:b w:val="0"/>
                <w:bCs/>
                <w:color w:val="auto"/>
                <w:sz w:val="24"/>
                <w:szCs w:val="24"/>
                <w:highlight w:val="none"/>
                <w:vertAlign w:val="baseline"/>
                <w:lang w:val="en-US" w:eastAsia="zh-CN" w:bidi="ar-SA"/>
              </w:rPr>
              <w:t>自2022年1月1日起至今预算管理一体化系统或</w:t>
            </w:r>
            <w:r>
              <w:rPr>
                <w:rFonts w:hint="eastAsia" w:ascii="仿宋_GB2312" w:hAnsi="仿宋_GB2312" w:eastAsia="仿宋_GB2312" w:cs="仿宋_GB2312"/>
                <w:b w:val="0"/>
                <w:bCs/>
                <w:color w:val="auto"/>
                <w:szCs w:val="24"/>
                <w:highlight w:val="none"/>
                <w:lang w:val="en-US"/>
              </w:rPr>
              <w:t>与财政相关的单位端系统</w:t>
            </w:r>
            <w:r>
              <w:rPr>
                <w:rFonts w:hint="eastAsia" w:ascii="仿宋_GB2312" w:hAnsi="仿宋_GB2312" w:eastAsia="仿宋_GB2312" w:cs="仿宋_GB2312"/>
                <w:b w:val="0"/>
                <w:bCs/>
                <w:color w:val="auto"/>
                <w:sz w:val="24"/>
                <w:szCs w:val="24"/>
                <w:highlight w:val="none"/>
                <w:vertAlign w:val="baseline"/>
                <w:lang w:val="en-US" w:eastAsia="zh-CN" w:bidi="ar-SA"/>
              </w:rPr>
              <w:t>开发或实施类业绩合同关键页。每提交一个得5分，满分25分。</w:t>
            </w:r>
          </w:p>
        </w:tc>
        <w:tc>
          <w:tcPr>
            <w:tcW w:w="72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合同</w:t>
            </w:r>
          </w:p>
        </w:tc>
        <w:tc>
          <w:tcPr>
            <w:tcW w:w="72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5" w:type="pct"/>
            <w:gridSpan w:val="4"/>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合计</w:t>
            </w:r>
          </w:p>
        </w:tc>
        <w:tc>
          <w:tcPr>
            <w:tcW w:w="724"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100</w:t>
            </w:r>
          </w:p>
        </w:tc>
      </w:tr>
    </w:tbl>
    <w:p>
      <w:pPr>
        <w:spacing w:beforeLines="0" w:after="0" w:afterLines="0" w:line="578" w:lineRule="exact"/>
        <w:rPr>
          <w:rFonts w:hint="eastAsia" w:eastAsia="仿宋_GB2312"/>
          <w:lang w:val="en-US" w:eastAsia="zh-CN"/>
        </w:rPr>
      </w:pPr>
    </w:p>
    <w:p>
      <w:pPr>
        <w:pStyle w:val="2"/>
        <w:spacing w:before="0" w:beforeLines="0" w:after="0" w:afterLines="0" w:line="578" w:lineRule="exact"/>
        <w:rPr>
          <w:rFonts w:hint="eastAsia"/>
          <w:lang w:val="en-US" w:eastAsia="zh-CN"/>
        </w:rPr>
      </w:pPr>
    </w:p>
    <w:p>
      <w:pPr>
        <w:spacing w:beforeLines="0" w:after="0" w:afterLines="0" w:line="578" w:lineRule="exact"/>
        <w:rPr>
          <w:rFonts w:hint="eastAsia" w:eastAsia="仿宋_GB2312"/>
          <w:lang w:val="en-US" w:eastAsia="zh-CN"/>
        </w:rPr>
      </w:pPr>
    </w:p>
    <w:p>
      <w:pPr>
        <w:spacing w:beforeLines="0" w:after="0" w:afterLines="0" w:line="578" w:lineRule="exact"/>
        <w:rPr>
          <w:rFonts w:hint="eastAsia" w:eastAsia="仿宋_GB2312"/>
          <w:lang w:val="en-US" w:eastAsia="zh-CN"/>
        </w:rPr>
      </w:pPr>
    </w:p>
    <w:p>
      <w:pPr>
        <w:spacing w:beforeLines="0" w:after="0" w:afterLines="0" w:line="578" w:lineRule="exact"/>
        <w:rPr>
          <w:rFonts w:hint="eastAsia" w:eastAsia="仿宋_GB2312"/>
          <w:lang w:val="en-US" w:eastAsia="zh-CN"/>
        </w:rPr>
      </w:pPr>
    </w:p>
    <w:p>
      <w:pPr>
        <w:spacing w:beforeLines="0" w:after="0" w:afterLines="0" w:line="578" w:lineRule="exact"/>
        <w:rPr>
          <w:rFonts w:hint="eastAsia" w:eastAsia="仿宋_GB2312"/>
          <w:lang w:val="en-US" w:eastAsia="zh-CN"/>
        </w:rPr>
      </w:pPr>
    </w:p>
    <w:p>
      <w:pPr>
        <w:spacing w:beforeLines="0" w:after="0" w:afterLines="0" w:line="578" w:lineRule="exact"/>
        <w:rPr>
          <w:rFonts w:hint="eastAsia" w:eastAsia="仿宋_GB231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8"/>
          <w:szCs w:val="28"/>
          <w:highlight w:val="none"/>
          <w:vertAlign w:val="baseline"/>
          <w:lang w:val="en-US" w:eastAsia="zh-CN"/>
        </w:rPr>
      </w:pPr>
      <w:r>
        <w:rPr>
          <w:rFonts w:hint="eastAsia" w:ascii="仿宋_GB2312" w:hAnsi="仿宋_GB2312" w:eastAsia="仿宋_GB2312" w:cs="仿宋_GB2312"/>
          <w:b/>
          <w:bCs w:val="0"/>
          <w:color w:val="auto"/>
          <w:sz w:val="28"/>
          <w:szCs w:val="28"/>
          <w:highlight w:val="none"/>
          <w:vertAlign w:val="baseline"/>
          <w:lang w:val="en-US" w:eastAsia="zh-CN"/>
        </w:rPr>
        <w:t>软件运维服务类供应商评价标准</w:t>
      </w:r>
    </w:p>
    <w:tbl>
      <w:tblPr>
        <w:tblStyle w:val="12"/>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515"/>
        <w:gridCol w:w="3945"/>
        <w:gridCol w:w="1260"/>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bidi="en-US"/>
              </w:rPr>
            </w:pPr>
            <w:r>
              <w:rPr>
                <w:rFonts w:hint="eastAsia" w:ascii="仿宋_GB2312" w:hAnsi="仿宋_GB2312" w:eastAsia="仿宋_GB2312" w:cs="仿宋_GB2312"/>
                <w:b/>
                <w:bCs w:val="0"/>
                <w:color w:val="auto"/>
                <w:sz w:val="24"/>
                <w:szCs w:val="24"/>
                <w:highlight w:val="none"/>
                <w:vertAlign w:val="baseline"/>
                <w:lang w:val="en-US" w:eastAsia="zh-CN"/>
              </w:rPr>
              <w:t>序号</w:t>
            </w:r>
          </w:p>
        </w:tc>
        <w:tc>
          <w:tcPr>
            <w:tcW w:w="89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kern w:val="2"/>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评分内容</w:t>
            </w:r>
          </w:p>
        </w:tc>
        <w:tc>
          <w:tcPr>
            <w:tcW w:w="232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kern w:val="2"/>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评分标准</w:t>
            </w:r>
          </w:p>
        </w:tc>
        <w:tc>
          <w:tcPr>
            <w:tcW w:w="74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kern w:val="2"/>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证明材料</w:t>
            </w:r>
          </w:p>
        </w:tc>
        <w:tc>
          <w:tcPr>
            <w:tcW w:w="56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kern w:val="2"/>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0" w:hRule="atLeast"/>
        </w:trPr>
        <w:tc>
          <w:tcPr>
            <w:tcW w:w="478"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bidi="en-US"/>
              </w:rPr>
            </w:pPr>
            <w:r>
              <w:rPr>
                <w:rFonts w:hint="eastAsia" w:ascii="仿宋_GB2312" w:hAnsi="仿宋_GB2312" w:eastAsia="仿宋_GB2312" w:cs="仿宋_GB2312"/>
                <w:sz w:val="24"/>
                <w:szCs w:val="24"/>
                <w:vertAlign w:val="baseline"/>
                <w:lang w:val="en-US" w:eastAsia="zh-CN"/>
              </w:rPr>
              <w:t>1</w:t>
            </w:r>
          </w:p>
        </w:tc>
        <w:tc>
          <w:tcPr>
            <w:tcW w:w="89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kern w:val="2"/>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企业综合实力（15分）</w:t>
            </w:r>
          </w:p>
        </w:tc>
        <w:tc>
          <w:tcPr>
            <w:tcW w:w="232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left"/>
              <w:textAlignment w:val="auto"/>
              <w:outlineLvl w:val="1"/>
              <w:rPr>
                <w:rFonts w:hint="eastAsia" w:ascii="仿宋_GB2312" w:hAnsi="仿宋_GB2312" w:eastAsia="仿宋_GB2312" w:cs="仿宋_GB2312"/>
                <w:b w:val="0"/>
                <w:bCs/>
                <w:color w:val="auto"/>
                <w:szCs w:val="24"/>
                <w:highlight w:val="none"/>
                <w:lang w:val="en-US" w:eastAsia="zh-CN"/>
              </w:rPr>
            </w:pPr>
            <w:r>
              <w:rPr>
                <w:rFonts w:hint="eastAsia" w:ascii="仿宋_GB2312" w:hAnsi="仿宋_GB2312" w:eastAsia="仿宋_GB2312" w:cs="仿宋_GB2312"/>
                <w:b w:val="0"/>
                <w:bCs/>
                <w:color w:val="auto"/>
                <w:szCs w:val="24"/>
                <w:highlight w:val="none"/>
                <w:lang w:val="en-US" w:eastAsia="zh-CN"/>
              </w:rPr>
              <w:t>（1）供应商具备财政相关系统软件著作权登记证书，得5分，没有得0分。</w:t>
            </w:r>
          </w:p>
          <w:p>
            <w:pPr>
              <w:pStyle w:val="2"/>
              <w:keepNext w:val="0"/>
              <w:keepLines w:val="0"/>
              <w:widowControl/>
              <w:numPr>
                <w:ilvl w:val="0"/>
                <w:numId w:val="0"/>
              </w:numPr>
              <w:suppressLineNumbers w:val="0"/>
              <w:spacing w:before="0" w:beforeLines="0" w:beforeAutospacing="0" w:after="0" w:afterLines="0" w:afterAutospacing="0" w:line="400" w:lineRule="exact"/>
              <w:ind w:left="0" w:right="0"/>
              <w:contextualSpacing/>
              <w:jc w:val="left"/>
              <w:outlineLvl w:val="1"/>
              <w:rPr>
                <w:rFonts w:hint="eastAsia" w:ascii="仿宋_GB2312" w:hAnsi="仿宋_GB2312" w:eastAsia="仿宋_GB2312" w:cs="仿宋_GB2312"/>
                <w:b w:val="0"/>
                <w:bCs/>
                <w:color w:val="auto"/>
                <w:kern w:val="2"/>
                <w:sz w:val="24"/>
                <w:szCs w:val="24"/>
                <w:highlight w:val="none"/>
                <w:lang w:val="en-US"/>
              </w:rPr>
            </w:pPr>
            <w:r>
              <w:rPr>
                <w:rFonts w:hint="eastAsia" w:ascii="仿宋_GB2312" w:hAnsi="仿宋_GB2312" w:eastAsia="仿宋_GB2312" w:cs="仿宋_GB2312"/>
                <w:b w:val="0"/>
                <w:bCs/>
                <w:color w:val="auto"/>
                <w:szCs w:val="24"/>
                <w:highlight w:val="none"/>
                <w:lang w:val="en-US" w:eastAsia="zh-CN"/>
              </w:rPr>
              <w:t>（2）</w:t>
            </w:r>
            <w:r>
              <w:rPr>
                <w:rFonts w:hint="eastAsia" w:ascii="仿宋_GB2312" w:hAnsi="仿宋_GB2312" w:eastAsia="仿宋_GB2312" w:cs="仿宋_GB2312"/>
                <w:b w:val="0"/>
                <w:bCs/>
                <w:color w:val="auto"/>
                <w:kern w:val="2"/>
                <w:sz w:val="24"/>
                <w:szCs w:val="24"/>
                <w:highlight w:val="none"/>
                <w:lang w:val="en-US"/>
              </w:rPr>
              <w:t>具备软件成熟度CMMI3证书（含以上 ）、数据管理能力成熟度等级DCMM2（含以上）、中国电子信息行业联合会颁发的信息系统建设和服务能力等级 CS 2（含以上）、中国电子工业标准化技术协会颁发的ITSS成熟性等级三级（含以上），满足其中一项得</w:t>
            </w:r>
            <w:r>
              <w:rPr>
                <w:rFonts w:hint="eastAsia" w:ascii="仿宋_GB2312" w:hAnsi="仿宋_GB2312" w:eastAsia="仿宋_GB2312" w:cs="仿宋_GB2312"/>
                <w:b w:val="0"/>
                <w:bCs/>
                <w:color w:val="auto"/>
                <w:kern w:val="2"/>
                <w:sz w:val="24"/>
                <w:szCs w:val="24"/>
                <w:highlight w:val="none"/>
                <w:lang w:val="en-US" w:eastAsia="zh-CN"/>
              </w:rPr>
              <w:t>5</w:t>
            </w:r>
            <w:r>
              <w:rPr>
                <w:rFonts w:hint="eastAsia" w:ascii="仿宋_GB2312" w:hAnsi="仿宋_GB2312" w:eastAsia="仿宋_GB2312" w:cs="仿宋_GB2312"/>
                <w:b w:val="0"/>
                <w:bCs/>
                <w:color w:val="auto"/>
                <w:kern w:val="2"/>
                <w:sz w:val="24"/>
                <w:szCs w:val="24"/>
                <w:highlight w:val="none"/>
                <w:lang w:val="en-US"/>
              </w:rPr>
              <w:t>分。</w:t>
            </w:r>
          </w:p>
          <w:p>
            <w:pPr>
              <w:pStyle w:val="2"/>
              <w:widowControl/>
              <w:numPr>
                <w:ilvl w:val="0"/>
                <w:numId w:val="0"/>
              </w:numPr>
              <w:spacing w:before="0" w:beforeLines="0" w:after="0" w:afterLines="0" w:line="400" w:lineRule="exact"/>
              <w:contextualSpacing/>
              <w:jc w:val="left"/>
              <w:outlineLvl w:val="1"/>
              <w:rPr>
                <w:rFonts w:hint="eastAsia" w:ascii="仿宋_GB2312" w:hAnsi="仿宋_GB2312" w:eastAsia="仿宋_GB2312" w:cs="仿宋_GB2312"/>
                <w:b w:val="0"/>
                <w:bCs/>
                <w:color w:val="auto"/>
                <w:szCs w:val="24"/>
                <w:highlight w:val="none"/>
                <w:lang w:val="en-US" w:eastAsia="zh-CN"/>
              </w:rPr>
            </w:pPr>
            <w:r>
              <w:rPr>
                <w:rFonts w:hint="eastAsia" w:ascii="仿宋_GB2312" w:hAnsi="仿宋_GB2312" w:eastAsia="仿宋_GB2312" w:cs="仿宋_GB2312"/>
                <w:b w:val="0"/>
                <w:bCs/>
                <w:color w:val="auto"/>
                <w:szCs w:val="24"/>
                <w:highlight w:val="none"/>
                <w:lang w:val="en-US" w:eastAsia="zh-CN"/>
              </w:rPr>
              <w:t>（3）具有ISO27001信息安全管理体系认证、ISO20000信息技术服务管理体系认证书、IS09001质量管理体系认证证书、ISO14001环境管理体系认证证书、ISO45001职业健康安全管理体系认证证书、ISO22301业务连续性认证证书，满足其中一项得5分。</w:t>
            </w:r>
          </w:p>
          <w:p>
            <w:pPr>
              <w:widowControl w:val="0"/>
              <w:spacing w:beforeLines="0" w:after="0" w:afterLines="0"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color w:val="auto"/>
                <w:sz w:val="24"/>
                <w:szCs w:val="24"/>
                <w:highlight w:val="none"/>
                <w:lang w:val="en-US" w:eastAsia="zh-CN"/>
              </w:rPr>
              <w:t>注：提供有效期内的证书复印件并加盖公章。</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left"/>
              <w:textAlignment w:val="auto"/>
              <w:outlineLvl w:val="1"/>
              <w:rPr>
                <w:rFonts w:hint="eastAsia" w:ascii="仿宋_GB2312" w:hAnsi="仿宋_GB2312" w:eastAsia="仿宋_GB2312" w:cs="仿宋_GB2312"/>
                <w:b w:val="0"/>
                <w:bCs/>
                <w:color w:val="auto"/>
                <w:kern w:val="2"/>
                <w:sz w:val="24"/>
                <w:szCs w:val="24"/>
                <w:highlight w:val="none"/>
                <w:lang w:val="en-US" w:eastAsia="zh-CN" w:bidi="ar-SA"/>
              </w:rPr>
            </w:pPr>
          </w:p>
        </w:tc>
        <w:tc>
          <w:tcPr>
            <w:tcW w:w="74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Cs w:val="24"/>
                <w:highlight w:val="none"/>
                <w:lang w:val="en-US" w:eastAsia="zh-CN"/>
              </w:rPr>
              <w:t>证书复印件</w:t>
            </w:r>
          </w:p>
        </w:tc>
        <w:tc>
          <w:tcPr>
            <w:tcW w:w="56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9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企业服务能力（10分）</w:t>
            </w:r>
          </w:p>
        </w:tc>
        <w:tc>
          <w:tcPr>
            <w:tcW w:w="2320" w:type="pct"/>
            <w:vAlign w:val="center"/>
          </w:tcPr>
          <w:p>
            <w:pPr>
              <w:widowControl w:val="0"/>
              <w:spacing w:beforeLines="0" w:after="0" w:afterLines="0" w:line="400" w:lineRule="exact"/>
              <w:ind w:firstLine="0" w:firstLineChars="0"/>
              <w:jc w:val="both"/>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Cs/>
                <w:color w:val="auto"/>
                <w:sz w:val="24"/>
                <w:szCs w:val="24"/>
                <w:highlight w:val="none"/>
                <w:lang w:eastAsia="zh-CN"/>
              </w:rPr>
              <w:t>依据企业成立时间（须满</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lang w:eastAsia="zh-CN"/>
              </w:rPr>
              <w:t>年）、运维服务管理体系完备性、服务流程规范性，以及业务专注度与申报类别的匹配程度进行评判</w:t>
            </w:r>
            <w:r>
              <w:rPr>
                <w:rFonts w:hint="eastAsia" w:ascii="仿宋_GB2312" w:hAnsi="仿宋_GB2312" w:eastAsia="仿宋_GB2312" w:cs="仿宋_GB2312"/>
                <w:b w:val="0"/>
                <w:bCs/>
                <w:color w:val="auto"/>
                <w:sz w:val="24"/>
                <w:szCs w:val="24"/>
                <w:highlight w:val="none"/>
                <w:vertAlign w:val="baseline"/>
                <w:lang w:val="en-US" w:eastAsia="zh-CN" w:bidi="ar-SA"/>
              </w:rPr>
              <w:t>。其中匹配程度高的得分：8-10分，匹配程度较高的得分：4-7分，匹配程度较差的得分：0-3分。</w:t>
            </w:r>
          </w:p>
        </w:tc>
        <w:tc>
          <w:tcPr>
            <w:tcW w:w="741" w:type="pct"/>
            <w:vAlign w:val="center"/>
          </w:tcPr>
          <w:p>
            <w:pPr>
              <w:widowControl w:val="0"/>
              <w:spacing w:beforeLines="0" w:after="0" w:afterLines="0" w:line="400" w:lineRule="exact"/>
              <w:ind w:left="0" w:leftChars="0" w:firstLine="0" w:firstLine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企业情况介绍</w:t>
            </w:r>
          </w:p>
        </w:tc>
        <w:tc>
          <w:tcPr>
            <w:tcW w:w="568" w:type="pct"/>
            <w:vAlign w:val="center"/>
          </w:tcPr>
          <w:p>
            <w:pPr>
              <w:widowControl w:val="0"/>
              <w:spacing w:beforeLines="0" w:after="0" w:afterLines="0" w:line="578" w:lineRule="exact"/>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89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服务团队要求（20分）</w:t>
            </w:r>
          </w:p>
        </w:tc>
        <w:tc>
          <w:tcPr>
            <w:tcW w:w="232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Cs w:val="24"/>
                <w:highlight w:val="none"/>
                <w:lang w:val="en-US"/>
              </w:rPr>
              <w:t>依据当地服务团队架构、成员工作年限与分工合理性，以及其经验背景是否契合申报类别要求进行评判。</w:t>
            </w:r>
            <w:r>
              <w:rPr>
                <w:rFonts w:hint="eastAsia" w:ascii="仿宋_GB2312" w:hAnsi="仿宋_GB2312" w:eastAsia="仿宋_GB2312" w:cs="仿宋_GB2312"/>
                <w:b w:val="0"/>
                <w:bCs/>
                <w:color w:val="auto"/>
                <w:sz w:val="24"/>
                <w:szCs w:val="24"/>
                <w:highlight w:val="none"/>
                <w:vertAlign w:val="baseline"/>
                <w:lang w:val="en-US" w:eastAsia="zh-CN" w:bidi="ar-SA"/>
              </w:rPr>
              <w:t>其中团队契合度高的得分：16-20分，团队契合度较高的得分：11-15分，团队契合度较差的得分：0-10分。</w:t>
            </w:r>
          </w:p>
        </w:tc>
        <w:tc>
          <w:tcPr>
            <w:tcW w:w="74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当地服务团队架构、团队成员简历及分工说明</w:t>
            </w:r>
          </w:p>
        </w:tc>
        <w:tc>
          <w:tcPr>
            <w:tcW w:w="56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89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服务方案（30分）</w:t>
            </w:r>
          </w:p>
        </w:tc>
        <w:tc>
          <w:tcPr>
            <w:tcW w:w="2320"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left"/>
              <w:textAlignment w:val="auto"/>
              <w:outlineLvl w:val="1"/>
              <w:rPr>
                <w:rFonts w:hint="default" w:ascii="仿宋_GB2312" w:hAnsi="仿宋_GB2312" w:eastAsia="仿宋_GB2312" w:cs="仿宋_GB2312"/>
                <w:b w:val="0"/>
                <w:bCs/>
                <w:color w:val="auto"/>
                <w:szCs w:val="24"/>
                <w:highlight w:val="none"/>
                <w:lang w:val="en-US" w:eastAsia="zh-CN"/>
              </w:rPr>
            </w:pPr>
            <w:r>
              <w:rPr>
                <w:rFonts w:hint="eastAsia" w:ascii="仿宋_GB2312" w:hAnsi="仿宋_GB2312" w:eastAsia="仿宋_GB2312" w:cs="仿宋_GB2312"/>
                <w:b w:val="0"/>
                <w:bCs/>
                <w:color w:val="auto"/>
                <w:sz w:val="24"/>
                <w:szCs w:val="24"/>
                <w:highlight w:val="none"/>
                <w:lang w:val="en-US"/>
              </w:rPr>
              <w:t>依据所提供的组织实施运维方案、质量保障方案及应急响应流程的详实与准确程度进行评判。</w:t>
            </w:r>
            <w:r>
              <w:rPr>
                <w:rFonts w:hint="eastAsia" w:ascii="仿宋_GB2312" w:hAnsi="仿宋_GB2312" w:eastAsia="仿宋_GB2312" w:cs="仿宋_GB2312"/>
                <w:b w:val="0"/>
                <w:bCs/>
                <w:color w:val="auto"/>
                <w:sz w:val="24"/>
                <w:szCs w:val="24"/>
                <w:highlight w:val="none"/>
                <w:lang w:val="en-US" w:eastAsia="zh-CN"/>
              </w:rPr>
              <w:t>其中供应商提供的方案合理、详细、准确程度高的得分：21</w:t>
            </w:r>
            <w:r>
              <w:rPr>
                <w:rFonts w:hint="eastAsia" w:ascii="仿宋_GB2312" w:hAnsi="仿宋_GB2312" w:eastAsia="仿宋_GB2312" w:cs="仿宋_GB2312"/>
                <w:b w:val="0"/>
                <w:bCs/>
                <w:color w:val="auto"/>
                <w:sz w:val="24"/>
                <w:szCs w:val="24"/>
                <w:highlight w:val="none"/>
                <w:vertAlign w:val="baseline"/>
                <w:lang w:val="en-US" w:eastAsia="zh-CN" w:bidi="ar-SA"/>
              </w:rPr>
              <w:t>-30分</w:t>
            </w:r>
            <w:r>
              <w:rPr>
                <w:rFonts w:hint="eastAsia" w:ascii="仿宋_GB2312" w:hAnsi="仿宋_GB2312" w:eastAsia="仿宋_GB2312" w:cs="仿宋_GB2312"/>
                <w:b w:val="0"/>
                <w:bCs/>
                <w:color w:val="auto"/>
                <w:sz w:val="24"/>
                <w:szCs w:val="24"/>
                <w:highlight w:val="none"/>
                <w:lang w:val="en-US" w:eastAsia="zh-CN"/>
              </w:rPr>
              <w:t>。供应商提供的方案合理、详细、准确程度较高的得分：</w:t>
            </w:r>
            <w:r>
              <w:rPr>
                <w:rFonts w:hint="eastAsia" w:ascii="仿宋_GB2312" w:hAnsi="仿宋_GB2312" w:eastAsia="仿宋_GB2312" w:cs="仿宋_GB2312"/>
                <w:b w:val="0"/>
                <w:bCs/>
                <w:color w:val="auto"/>
                <w:sz w:val="24"/>
                <w:szCs w:val="24"/>
                <w:highlight w:val="none"/>
                <w:vertAlign w:val="baseline"/>
                <w:lang w:val="en-US" w:eastAsia="zh-CN" w:bidi="ar-SA"/>
              </w:rPr>
              <w:t>11-20分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Cs w:val="24"/>
                <w:highlight w:val="none"/>
                <w:lang w:val="en-US" w:eastAsia="zh-CN"/>
              </w:rPr>
              <w:t>供应商提供的方案合理、详细、准确程度较差的得分：</w:t>
            </w:r>
            <w:r>
              <w:rPr>
                <w:rFonts w:hint="eastAsia" w:ascii="仿宋_GB2312" w:hAnsi="仿宋_GB2312" w:eastAsia="仿宋_GB2312" w:cs="仿宋_GB2312"/>
                <w:b w:val="0"/>
                <w:bCs/>
                <w:color w:val="auto"/>
                <w:sz w:val="24"/>
                <w:szCs w:val="24"/>
                <w:highlight w:val="none"/>
                <w:vertAlign w:val="baseline"/>
                <w:lang w:val="en-US" w:eastAsia="zh-CN" w:bidi="ar-SA"/>
              </w:rPr>
              <w:t>0-10分。</w:t>
            </w:r>
          </w:p>
        </w:tc>
        <w:tc>
          <w:tcPr>
            <w:tcW w:w="74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center"/>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系统实施运维方案、质量保障方案、应急响应方案等</w:t>
            </w:r>
          </w:p>
        </w:tc>
        <w:tc>
          <w:tcPr>
            <w:tcW w:w="56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center"/>
          </w:tcPr>
          <w:p>
            <w:pPr>
              <w:pStyle w:val="15"/>
              <w:keepNext w:val="0"/>
              <w:keepLines w:val="0"/>
              <w:pageBreakBefore w:val="0"/>
              <w:widowControl/>
              <w:kinsoku/>
              <w:wordWrap/>
              <w:overflowPunct/>
              <w:topLinePunct w:val="0"/>
              <w:autoSpaceDE/>
              <w:autoSpaceDN/>
              <w:bidi w:val="0"/>
              <w:adjustRightInd/>
              <w:snapToGrid/>
              <w:spacing w:beforeLines="0" w:afterLines="0" w:line="578"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89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业绩要求（25分）</w:t>
            </w:r>
          </w:p>
        </w:tc>
        <w:tc>
          <w:tcPr>
            <w:tcW w:w="2320"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（1）自2022年1月1日起至今各省市县财政系统或者与财政系统相关的单位端系统运维业绩合同关键页；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contextualSpacing/>
              <w:jc w:val="left"/>
              <w:textAlignment w:val="auto"/>
              <w:outlineLvl w:val="1"/>
              <w:rPr>
                <w:rFonts w:hint="default" w:ascii="仿宋_GB2312" w:hAnsi="仿宋_GB2312" w:eastAsia="仿宋_GB2312" w:cs="仿宋_GB2312"/>
                <w:b w:val="0"/>
                <w:bCs/>
                <w:color w:val="auto"/>
                <w:szCs w:val="24"/>
                <w:highlight w:val="none"/>
                <w:lang w:val="en-US"/>
              </w:rPr>
            </w:pPr>
            <w:r>
              <w:rPr>
                <w:rFonts w:hint="eastAsia" w:ascii="仿宋_GB2312" w:hAnsi="仿宋_GB2312" w:eastAsia="仿宋_GB2312" w:cs="仿宋_GB2312"/>
                <w:b w:val="0"/>
                <w:bCs/>
                <w:color w:val="auto"/>
                <w:sz w:val="24"/>
                <w:szCs w:val="24"/>
                <w:highlight w:val="none"/>
                <w:vertAlign w:val="baseline"/>
                <w:lang w:val="en-US" w:eastAsia="zh-CN" w:bidi="ar-SA"/>
              </w:rPr>
              <w:t>（2）各合作省份本地化服务网点证明（如租赁合同、办公场所照片）。每提交一个类似业绩得5分，满分25分。（注：必须提供一个合作省份本地化服务网点证明，否则该项不得分）</w:t>
            </w:r>
          </w:p>
        </w:tc>
        <w:tc>
          <w:tcPr>
            <w:tcW w:w="741"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p>
        </w:tc>
        <w:tc>
          <w:tcPr>
            <w:tcW w:w="56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1" w:type="pct"/>
            <w:gridSpan w:val="4"/>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right"/>
              <w:textAlignment w:val="auto"/>
              <w:outlineLvl w:val="1"/>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合计</w:t>
            </w:r>
          </w:p>
        </w:tc>
        <w:tc>
          <w:tcPr>
            <w:tcW w:w="568" w:type="pct"/>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8" w:lineRule="exact"/>
              <w:ind w:left="0" w:leftChars="0" w:firstLine="0" w:firstLineChars="0"/>
              <w:contextualSpacing/>
              <w:jc w:val="center"/>
              <w:textAlignment w:val="auto"/>
              <w:outlineLvl w:val="1"/>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100</w:t>
            </w:r>
          </w:p>
        </w:tc>
      </w:tr>
    </w:tbl>
    <w:p>
      <w:pPr>
        <w:pStyle w:val="15"/>
        <w:spacing w:beforeLines="0" w:afterLines="0" w:line="578" w:lineRule="exact"/>
        <w:rPr>
          <w:rFonts w:hint="default" w:ascii="仿宋" w:hAnsi="仿宋" w:eastAsia="仿宋_GB2312"/>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1E0D69-9B4B-4B06-83FE-D18FF334B4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D8800E1-7675-4920-A1E0-E2D9883980CE}"/>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embedRegular r:id="rId3" w:fontKey="{E036B4DE-2DB9-4403-A4D7-2EBF3F66E739}"/>
  </w:font>
  <w:font w:name="楷体">
    <w:panose1 w:val="02010609060101010101"/>
    <w:charset w:val="86"/>
    <w:family w:val="modern"/>
    <w:pitch w:val="default"/>
    <w:sig w:usb0="800002BF" w:usb1="38CF7CFA" w:usb2="00000016" w:usb3="00000000" w:csb0="00040001" w:csb1="00000000"/>
    <w:embedRegular r:id="rId4" w:fontKey="{6C615F2A-3C62-463F-AEE4-201B643F8557}"/>
  </w:font>
  <w:font w:name="仿宋_GB2312">
    <w:panose1 w:val="02010609030101010101"/>
    <w:charset w:val="86"/>
    <w:family w:val="modern"/>
    <w:pitch w:val="default"/>
    <w:sig w:usb0="00000001" w:usb1="080E0000" w:usb2="00000000" w:usb3="00000000" w:csb0="00040000" w:csb1="00000000"/>
    <w:embedRegular r:id="rId5" w:fontKey="{5F7EBA7E-A5A8-4561-BD47-D0C86932EC5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59264;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C9Dt23LAIAAFU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dHdNQAAAAIAQAADwAAAAAAAAABACAAAAAiAAAAZHJzL2Rvd25yZXYueG1sUEsBAhQAFAAA&#10;AAgAh07iQL0O3bcsAgAAVQQAAA4AAAAAAAAAAQAgAAAAIwEAAGRycy9lMm9Eb2MueG1sUEsFBgAA&#10;AAAGAAYAWQEAAMEFAAAAAA==&#10;">
              <v:fill on="f" focussize="0,0"/>
              <v:stroke on="f" weight="0.5pt"/>
              <v:imagedata o:title=""/>
              <o:lock v:ext="edit" aspectratio="f"/>
              <v:textbox inset="0mm,0mm,0mm,0mm" style="mso-fit-shape-to-text:t;">
                <w:txbxContent>
                  <w:p>
                    <w:pPr>
                      <w:pStyle w:val="8"/>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5D39A"/>
    <w:multiLevelType w:val="singleLevel"/>
    <w:tmpl w:val="DAC5D39A"/>
    <w:lvl w:ilvl="0" w:tentative="0">
      <w:start w:val="1"/>
      <w:numFmt w:val="chineseCounting"/>
      <w:suff w:val="nothing"/>
      <w:lvlText w:val="（%1）"/>
      <w:lvlJc w:val="left"/>
      <w:pPr>
        <w:ind w:left="0" w:firstLine="420"/>
      </w:pPr>
      <w:rPr>
        <w:rFonts w:hint="eastAsia" w:eastAsia="楷体"/>
      </w:rPr>
    </w:lvl>
  </w:abstractNum>
  <w:abstractNum w:abstractNumId="1">
    <w:nsid w:val="DF83633B"/>
    <w:multiLevelType w:val="singleLevel"/>
    <w:tmpl w:val="DF83633B"/>
    <w:lvl w:ilvl="0" w:tentative="0">
      <w:start w:val="1"/>
      <w:numFmt w:val="chineseCounting"/>
      <w:suff w:val="nothing"/>
      <w:lvlText w:val="（%1）"/>
      <w:lvlJc w:val="left"/>
      <w:pPr>
        <w:ind w:left="0" w:firstLine="420"/>
      </w:pPr>
      <w:rPr>
        <w:rFonts w:hint="eastAsia"/>
      </w:rPr>
    </w:lvl>
  </w:abstractNum>
  <w:abstractNum w:abstractNumId="2">
    <w:nsid w:val="FB50E7A7"/>
    <w:multiLevelType w:val="singleLevel"/>
    <w:tmpl w:val="FB50E7A7"/>
    <w:lvl w:ilvl="0" w:tentative="0">
      <w:start w:val="1"/>
      <w:numFmt w:val="chineseCounting"/>
      <w:suff w:val="nothing"/>
      <w:lvlText w:val="%1、"/>
      <w:lvlJc w:val="left"/>
      <w:pPr>
        <w:ind w:left="794" w:hanging="114"/>
      </w:pPr>
      <w:rPr>
        <w:rFonts w:hint="eastAsia" w:ascii="黑体" w:hAnsi="黑体" w:eastAsia="黑体" w:cs="黑体"/>
      </w:rPr>
    </w:lvl>
  </w:abstractNum>
  <w:abstractNum w:abstractNumId="3">
    <w:nsid w:val="1CFE61D8"/>
    <w:multiLevelType w:val="singleLevel"/>
    <w:tmpl w:val="1CFE61D8"/>
    <w:lvl w:ilvl="0" w:tentative="0">
      <w:start w:val="1"/>
      <w:numFmt w:val="chineseCounting"/>
      <w:suff w:val="space"/>
      <w:lvlText w:val="第%1部分"/>
      <w:lvlJc w:val="left"/>
      <w:rPr>
        <w:rFonts w:hint="eastAsia"/>
      </w:rPr>
    </w:lvl>
  </w:abstractNum>
  <w:abstractNum w:abstractNumId="4">
    <w:nsid w:val="303CA73C"/>
    <w:multiLevelType w:val="singleLevel"/>
    <w:tmpl w:val="303CA73C"/>
    <w:lvl w:ilvl="0" w:tentative="0">
      <w:start w:val="1"/>
      <w:numFmt w:val="chineseCounting"/>
      <w:suff w:val="nothing"/>
      <w:lvlText w:val="（%1）"/>
      <w:lvlJc w:val="left"/>
      <w:pPr>
        <w:ind w:left="0" w:firstLine="420"/>
      </w:pPr>
      <w:rPr>
        <w:rFonts w:hint="eastAsia" w:ascii="仿宋" w:hAnsi="仿宋" w:eastAsia="仿宋"/>
      </w:rPr>
    </w:lvl>
  </w:abstractNum>
  <w:abstractNum w:abstractNumId="5">
    <w:nsid w:val="30793E53"/>
    <w:multiLevelType w:val="singleLevel"/>
    <w:tmpl w:val="30793E53"/>
    <w:lvl w:ilvl="0" w:tentative="0">
      <w:start w:val="1"/>
      <w:numFmt w:val="chineseCounting"/>
      <w:suff w:val="nothing"/>
      <w:lvlText w:val="（%1）"/>
      <w:lvlJc w:val="left"/>
      <w:pPr>
        <w:ind w:left="0" w:firstLine="420"/>
      </w:pPr>
      <w:rPr>
        <w:rFonts w:hint="eastAsia" w:ascii="仿宋" w:hAnsi="仿宋" w:eastAsia="仿宋"/>
      </w:rPr>
    </w:lvl>
  </w:abstractNum>
  <w:abstractNum w:abstractNumId="6">
    <w:nsid w:val="763995B5"/>
    <w:multiLevelType w:val="singleLevel"/>
    <w:tmpl w:val="763995B5"/>
    <w:lvl w:ilvl="0" w:tentative="0">
      <w:start w:val="1"/>
      <w:numFmt w:val="chineseCounting"/>
      <w:suff w:val="nothing"/>
      <w:lvlText w:val="（%1）"/>
      <w:lvlJc w:val="left"/>
      <w:pPr>
        <w:ind w:left="0" w:firstLine="420"/>
      </w:pPr>
      <w:rPr>
        <w:rFonts w:hint="eastAsia" w:ascii="仿宋" w:hAnsi="仿宋" w:eastAsia="仿宋"/>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MGMzN2VlMGZhODRmZWVjZTZjMTNmYTMzMDcxYjkifQ=="/>
    <w:docVar w:name="KSO_WPS_MARK_KEY" w:val="ae5578e1-6201-4c14-8684-1e2d81201654"/>
  </w:docVars>
  <w:rsids>
    <w:rsidRoot w:val="00680FC3"/>
    <w:rsid w:val="000A2AED"/>
    <w:rsid w:val="001065E2"/>
    <w:rsid w:val="001304DF"/>
    <w:rsid w:val="00174A53"/>
    <w:rsid w:val="0025355E"/>
    <w:rsid w:val="002662B6"/>
    <w:rsid w:val="00287E06"/>
    <w:rsid w:val="002B62C6"/>
    <w:rsid w:val="003341D7"/>
    <w:rsid w:val="00353FA3"/>
    <w:rsid w:val="00380A1A"/>
    <w:rsid w:val="003D1911"/>
    <w:rsid w:val="004017E8"/>
    <w:rsid w:val="0051112B"/>
    <w:rsid w:val="00525426"/>
    <w:rsid w:val="005A40D2"/>
    <w:rsid w:val="00680FC3"/>
    <w:rsid w:val="006E7397"/>
    <w:rsid w:val="006F394B"/>
    <w:rsid w:val="00700E26"/>
    <w:rsid w:val="00744715"/>
    <w:rsid w:val="007B1FA5"/>
    <w:rsid w:val="008466D3"/>
    <w:rsid w:val="008E3A88"/>
    <w:rsid w:val="008E77DE"/>
    <w:rsid w:val="00934821"/>
    <w:rsid w:val="00A62F6F"/>
    <w:rsid w:val="00AD7A1C"/>
    <w:rsid w:val="00B261E2"/>
    <w:rsid w:val="00B84AF7"/>
    <w:rsid w:val="00C00F00"/>
    <w:rsid w:val="00C22A19"/>
    <w:rsid w:val="00D358F5"/>
    <w:rsid w:val="00D57906"/>
    <w:rsid w:val="00DF2DB7"/>
    <w:rsid w:val="00F00EB0"/>
    <w:rsid w:val="00F10434"/>
    <w:rsid w:val="00F74C13"/>
    <w:rsid w:val="00F8208D"/>
    <w:rsid w:val="00FB3326"/>
    <w:rsid w:val="011E0214"/>
    <w:rsid w:val="01A3073B"/>
    <w:rsid w:val="023F3639"/>
    <w:rsid w:val="02590841"/>
    <w:rsid w:val="03F61D12"/>
    <w:rsid w:val="041D0C30"/>
    <w:rsid w:val="046E5030"/>
    <w:rsid w:val="04C91812"/>
    <w:rsid w:val="0532605E"/>
    <w:rsid w:val="0639341C"/>
    <w:rsid w:val="065A320B"/>
    <w:rsid w:val="06AE50C2"/>
    <w:rsid w:val="0728596A"/>
    <w:rsid w:val="078B5EF9"/>
    <w:rsid w:val="07F707BE"/>
    <w:rsid w:val="08E84FA9"/>
    <w:rsid w:val="09001C44"/>
    <w:rsid w:val="0995410E"/>
    <w:rsid w:val="0A283ED3"/>
    <w:rsid w:val="0B186B99"/>
    <w:rsid w:val="0BE23665"/>
    <w:rsid w:val="0BF62368"/>
    <w:rsid w:val="0C5E0F2A"/>
    <w:rsid w:val="0D246F57"/>
    <w:rsid w:val="0D7C07BE"/>
    <w:rsid w:val="0DFA5B87"/>
    <w:rsid w:val="0E393D4C"/>
    <w:rsid w:val="0E966C21"/>
    <w:rsid w:val="0EAC6E81"/>
    <w:rsid w:val="0ED84D6A"/>
    <w:rsid w:val="0F0A1E9E"/>
    <w:rsid w:val="0F2721A6"/>
    <w:rsid w:val="0FCE72CB"/>
    <w:rsid w:val="0FD909AF"/>
    <w:rsid w:val="10190E3A"/>
    <w:rsid w:val="10AF2C58"/>
    <w:rsid w:val="10F845FF"/>
    <w:rsid w:val="11207790"/>
    <w:rsid w:val="118440E5"/>
    <w:rsid w:val="11A93C63"/>
    <w:rsid w:val="11E95673"/>
    <w:rsid w:val="120D5D21"/>
    <w:rsid w:val="1224169A"/>
    <w:rsid w:val="138A175B"/>
    <w:rsid w:val="13AA60B6"/>
    <w:rsid w:val="14142988"/>
    <w:rsid w:val="143366EE"/>
    <w:rsid w:val="14381704"/>
    <w:rsid w:val="145E0C1D"/>
    <w:rsid w:val="1503157B"/>
    <w:rsid w:val="165878EE"/>
    <w:rsid w:val="16745E26"/>
    <w:rsid w:val="16EB313B"/>
    <w:rsid w:val="176435AF"/>
    <w:rsid w:val="18117A72"/>
    <w:rsid w:val="187C568A"/>
    <w:rsid w:val="19143FA0"/>
    <w:rsid w:val="197E6550"/>
    <w:rsid w:val="19EA6AAF"/>
    <w:rsid w:val="1A042C32"/>
    <w:rsid w:val="1A8E480C"/>
    <w:rsid w:val="1B261368"/>
    <w:rsid w:val="1B4560C7"/>
    <w:rsid w:val="1BAC280B"/>
    <w:rsid w:val="1BEB74FA"/>
    <w:rsid w:val="1C5860E9"/>
    <w:rsid w:val="1CF06F67"/>
    <w:rsid w:val="1D7E40DE"/>
    <w:rsid w:val="1DDD2441"/>
    <w:rsid w:val="1E1A3B08"/>
    <w:rsid w:val="1E35298D"/>
    <w:rsid w:val="1E426EBA"/>
    <w:rsid w:val="1E734B49"/>
    <w:rsid w:val="1EB3600A"/>
    <w:rsid w:val="1F8D2690"/>
    <w:rsid w:val="1FA53BA4"/>
    <w:rsid w:val="1FAE057F"/>
    <w:rsid w:val="204A2AEF"/>
    <w:rsid w:val="2071377D"/>
    <w:rsid w:val="214967B1"/>
    <w:rsid w:val="21A76D2C"/>
    <w:rsid w:val="21D00AB2"/>
    <w:rsid w:val="2227300A"/>
    <w:rsid w:val="22467649"/>
    <w:rsid w:val="230B3A9D"/>
    <w:rsid w:val="23146D1C"/>
    <w:rsid w:val="2362786D"/>
    <w:rsid w:val="23C2284B"/>
    <w:rsid w:val="23EC6A2A"/>
    <w:rsid w:val="24493596"/>
    <w:rsid w:val="245C47B5"/>
    <w:rsid w:val="25276E09"/>
    <w:rsid w:val="255B4D05"/>
    <w:rsid w:val="255F03FD"/>
    <w:rsid w:val="26CD6B38"/>
    <w:rsid w:val="2732034E"/>
    <w:rsid w:val="274E75A1"/>
    <w:rsid w:val="27843D68"/>
    <w:rsid w:val="27982424"/>
    <w:rsid w:val="286F6778"/>
    <w:rsid w:val="28DE2BC9"/>
    <w:rsid w:val="29324410"/>
    <w:rsid w:val="29F27BC8"/>
    <w:rsid w:val="2A0707A2"/>
    <w:rsid w:val="2A0D122A"/>
    <w:rsid w:val="2A2535BF"/>
    <w:rsid w:val="2A4D10C0"/>
    <w:rsid w:val="2A597701"/>
    <w:rsid w:val="2AA51E24"/>
    <w:rsid w:val="2AAA7137"/>
    <w:rsid w:val="2AB253C7"/>
    <w:rsid w:val="2BAF1ED3"/>
    <w:rsid w:val="2BB53D21"/>
    <w:rsid w:val="2C0A3FF7"/>
    <w:rsid w:val="2CA55717"/>
    <w:rsid w:val="2CC15549"/>
    <w:rsid w:val="2D885DEC"/>
    <w:rsid w:val="2DA74F8B"/>
    <w:rsid w:val="2DEF06E0"/>
    <w:rsid w:val="2E016D68"/>
    <w:rsid w:val="2E421B72"/>
    <w:rsid w:val="2E642546"/>
    <w:rsid w:val="2E97693F"/>
    <w:rsid w:val="2F1B0AFB"/>
    <w:rsid w:val="2F8C5ED4"/>
    <w:rsid w:val="301717EA"/>
    <w:rsid w:val="307F3F9D"/>
    <w:rsid w:val="30B05302"/>
    <w:rsid w:val="30D756F7"/>
    <w:rsid w:val="3196577D"/>
    <w:rsid w:val="32674CE9"/>
    <w:rsid w:val="329830F5"/>
    <w:rsid w:val="32F3398C"/>
    <w:rsid w:val="33491B2B"/>
    <w:rsid w:val="340842AA"/>
    <w:rsid w:val="343E63B1"/>
    <w:rsid w:val="34734DFE"/>
    <w:rsid w:val="347728E4"/>
    <w:rsid w:val="34A34CFD"/>
    <w:rsid w:val="354E03E2"/>
    <w:rsid w:val="35D963E6"/>
    <w:rsid w:val="363B355D"/>
    <w:rsid w:val="368B205E"/>
    <w:rsid w:val="36DA532A"/>
    <w:rsid w:val="37284F6C"/>
    <w:rsid w:val="37380D99"/>
    <w:rsid w:val="378D6FA0"/>
    <w:rsid w:val="37D47092"/>
    <w:rsid w:val="3823268E"/>
    <w:rsid w:val="38B62526"/>
    <w:rsid w:val="38C1701F"/>
    <w:rsid w:val="3991161B"/>
    <w:rsid w:val="39AC75F8"/>
    <w:rsid w:val="39EB0D58"/>
    <w:rsid w:val="3A8D5837"/>
    <w:rsid w:val="3ACD1DA9"/>
    <w:rsid w:val="3AF70BD4"/>
    <w:rsid w:val="3B36794F"/>
    <w:rsid w:val="3B626C76"/>
    <w:rsid w:val="3B8E1539"/>
    <w:rsid w:val="3BE66E76"/>
    <w:rsid w:val="3BFC27D5"/>
    <w:rsid w:val="3CC03F23"/>
    <w:rsid w:val="3CFD489A"/>
    <w:rsid w:val="3D3E7D4C"/>
    <w:rsid w:val="3D5928A0"/>
    <w:rsid w:val="3D745D72"/>
    <w:rsid w:val="3D8D3E1A"/>
    <w:rsid w:val="3E7E61F6"/>
    <w:rsid w:val="3EE4767C"/>
    <w:rsid w:val="3FE5425C"/>
    <w:rsid w:val="40B7508E"/>
    <w:rsid w:val="411F1D7A"/>
    <w:rsid w:val="412C1BBF"/>
    <w:rsid w:val="413B0711"/>
    <w:rsid w:val="42070E04"/>
    <w:rsid w:val="42CA33A7"/>
    <w:rsid w:val="43E837B0"/>
    <w:rsid w:val="44153AF2"/>
    <w:rsid w:val="44C85ABB"/>
    <w:rsid w:val="44D81A76"/>
    <w:rsid w:val="463F4702"/>
    <w:rsid w:val="46570138"/>
    <w:rsid w:val="465C5A2E"/>
    <w:rsid w:val="47136D96"/>
    <w:rsid w:val="48380D2B"/>
    <w:rsid w:val="48890B61"/>
    <w:rsid w:val="48C12F4D"/>
    <w:rsid w:val="49B51CB1"/>
    <w:rsid w:val="4AB10DA0"/>
    <w:rsid w:val="4B256055"/>
    <w:rsid w:val="4CAC7A71"/>
    <w:rsid w:val="4CD9638C"/>
    <w:rsid w:val="4D274F52"/>
    <w:rsid w:val="4DE1679A"/>
    <w:rsid w:val="4EEE25C2"/>
    <w:rsid w:val="4F7C5C0C"/>
    <w:rsid w:val="510460CD"/>
    <w:rsid w:val="51245307"/>
    <w:rsid w:val="51523CB2"/>
    <w:rsid w:val="51976F83"/>
    <w:rsid w:val="519A07DF"/>
    <w:rsid w:val="529421CD"/>
    <w:rsid w:val="53FE23B7"/>
    <w:rsid w:val="548132AB"/>
    <w:rsid w:val="54F37FE2"/>
    <w:rsid w:val="5554124B"/>
    <w:rsid w:val="56514C42"/>
    <w:rsid w:val="574512C8"/>
    <w:rsid w:val="578F58C0"/>
    <w:rsid w:val="57CA34A1"/>
    <w:rsid w:val="583077A8"/>
    <w:rsid w:val="58661558"/>
    <w:rsid w:val="58690F0C"/>
    <w:rsid w:val="588B53EB"/>
    <w:rsid w:val="59BE0D00"/>
    <w:rsid w:val="59C02DAD"/>
    <w:rsid w:val="5A134610"/>
    <w:rsid w:val="5A4C7AA5"/>
    <w:rsid w:val="5A596CDD"/>
    <w:rsid w:val="5A81078E"/>
    <w:rsid w:val="5B1528AE"/>
    <w:rsid w:val="5B301722"/>
    <w:rsid w:val="5B381C2A"/>
    <w:rsid w:val="5B6A2FD1"/>
    <w:rsid w:val="5BAA04B1"/>
    <w:rsid w:val="5BC40E1D"/>
    <w:rsid w:val="5BCB18C9"/>
    <w:rsid w:val="5BE10DB9"/>
    <w:rsid w:val="5C2E2250"/>
    <w:rsid w:val="5CF561A0"/>
    <w:rsid w:val="5E0E058B"/>
    <w:rsid w:val="5E383930"/>
    <w:rsid w:val="606326E4"/>
    <w:rsid w:val="607E12CC"/>
    <w:rsid w:val="60A9459B"/>
    <w:rsid w:val="61972135"/>
    <w:rsid w:val="619A1BC9"/>
    <w:rsid w:val="62D400B6"/>
    <w:rsid w:val="63371229"/>
    <w:rsid w:val="636563C7"/>
    <w:rsid w:val="639669E5"/>
    <w:rsid w:val="63A67BCF"/>
    <w:rsid w:val="642647DB"/>
    <w:rsid w:val="64887113"/>
    <w:rsid w:val="65B80DDC"/>
    <w:rsid w:val="66611474"/>
    <w:rsid w:val="66651756"/>
    <w:rsid w:val="668B7516"/>
    <w:rsid w:val="669D1BC3"/>
    <w:rsid w:val="66FE4F15"/>
    <w:rsid w:val="676B5FA0"/>
    <w:rsid w:val="67E1247B"/>
    <w:rsid w:val="68401ED1"/>
    <w:rsid w:val="68494436"/>
    <w:rsid w:val="684F2AAF"/>
    <w:rsid w:val="68974733"/>
    <w:rsid w:val="68BB5F76"/>
    <w:rsid w:val="68C14587"/>
    <w:rsid w:val="68CF4DBB"/>
    <w:rsid w:val="69026E7F"/>
    <w:rsid w:val="690E58E3"/>
    <w:rsid w:val="69383DA0"/>
    <w:rsid w:val="693D1A89"/>
    <w:rsid w:val="69790E88"/>
    <w:rsid w:val="69D109A0"/>
    <w:rsid w:val="6A372C18"/>
    <w:rsid w:val="6ABF0193"/>
    <w:rsid w:val="6B465600"/>
    <w:rsid w:val="6BD623FB"/>
    <w:rsid w:val="6D015F39"/>
    <w:rsid w:val="6DC17EF2"/>
    <w:rsid w:val="6DC91E3F"/>
    <w:rsid w:val="6DFB6195"/>
    <w:rsid w:val="6DFE3106"/>
    <w:rsid w:val="6E330F36"/>
    <w:rsid w:val="6E432EF7"/>
    <w:rsid w:val="6E933022"/>
    <w:rsid w:val="6EA44F40"/>
    <w:rsid w:val="6EA6036C"/>
    <w:rsid w:val="6ECB479D"/>
    <w:rsid w:val="6EF3447D"/>
    <w:rsid w:val="6F110EBD"/>
    <w:rsid w:val="703F36CC"/>
    <w:rsid w:val="70A4697F"/>
    <w:rsid w:val="70FB78FE"/>
    <w:rsid w:val="71107458"/>
    <w:rsid w:val="711C2B67"/>
    <w:rsid w:val="719C1736"/>
    <w:rsid w:val="71E137D3"/>
    <w:rsid w:val="72192D0E"/>
    <w:rsid w:val="7313141F"/>
    <w:rsid w:val="733C3537"/>
    <w:rsid w:val="745229A8"/>
    <w:rsid w:val="74BB4445"/>
    <w:rsid w:val="74C92ADB"/>
    <w:rsid w:val="75004B37"/>
    <w:rsid w:val="752C73EF"/>
    <w:rsid w:val="75502DDF"/>
    <w:rsid w:val="758E79CD"/>
    <w:rsid w:val="759E3B4B"/>
    <w:rsid w:val="75BA28FA"/>
    <w:rsid w:val="75C27D20"/>
    <w:rsid w:val="76AF0360"/>
    <w:rsid w:val="77000835"/>
    <w:rsid w:val="772C579E"/>
    <w:rsid w:val="77DE7218"/>
    <w:rsid w:val="7808073C"/>
    <w:rsid w:val="78376848"/>
    <w:rsid w:val="78BD02C7"/>
    <w:rsid w:val="79130CD4"/>
    <w:rsid w:val="79295E21"/>
    <w:rsid w:val="79C17D27"/>
    <w:rsid w:val="7A4319BA"/>
    <w:rsid w:val="7AD00EA7"/>
    <w:rsid w:val="7BED2D01"/>
    <w:rsid w:val="7C0A5AD5"/>
    <w:rsid w:val="7D064A1C"/>
    <w:rsid w:val="7DB3377D"/>
    <w:rsid w:val="7DC600E3"/>
    <w:rsid w:val="7DE07B80"/>
    <w:rsid w:val="7EB96173"/>
    <w:rsid w:val="7F8703D2"/>
    <w:rsid w:val="7F997F87"/>
    <w:rsid w:val="D26D90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3">
    <w:name w:val="heading 1"/>
    <w:basedOn w:val="1"/>
    <w:next w:val="1"/>
    <w:qFormat/>
    <w:uiPriority w:val="9"/>
    <w:pPr>
      <w:keepNext/>
      <w:keepLines/>
      <w:spacing w:after="160"/>
      <w:contextualSpacing/>
      <w:jc w:val="center"/>
      <w:outlineLvl w:val="0"/>
    </w:pPr>
    <w:rPr>
      <w:rFonts w:ascii="宋体" w:hAnsi="宋体" w:eastAsia="宋体" w:cstheme="majorBidi"/>
      <w:b/>
      <w:bCs/>
      <w:sz w:val="44"/>
      <w:szCs w:val="28"/>
      <w:lang w:val="en-GB" w:eastAsia="zh-CN" w:bidi="ar-SA"/>
    </w:rPr>
  </w:style>
  <w:style w:type="paragraph" w:styleId="2">
    <w:name w:val="heading 2"/>
    <w:basedOn w:val="1"/>
    <w:next w:val="1"/>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paragraph" w:styleId="4">
    <w:name w:val="heading 3"/>
    <w:basedOn w:val="1"/>
    <w:next w:val="1"/>
    <w:semiHidden/>
    <w:unhideWhenUsed/>
    <w:qFormat/>
    <w:uiPriority w:val="0"/>
    <w:pPr>
      <w:spacing w:beforeAutospacing="1" w:after="0" w:afterAutospacing="1"/>
      <w:outlineLvl w:val="2"/>
    </w:pPr>
    <w:rPr>
      <w:rFonts w:hint="eastAsia" w:ascii="宋体" w:hAnsi="宋体" w:eastAsia="宋体" w:cs="Times New Roman"/>
      <w:b/>
      <w:bCs/>
      <w:sz w:val="27"/>
      <w:szCs w:val="27"/>
      <w:lang w:eastAsia="zh-CN"/>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style>
  <w:style w:type="paragraph" w:styleId="7">
    <w:name w:val="Salutation"/>
    <w:basedOn w:val="1"/>
    <w:next w:val="1"/>
    <w:qFormat/>
    <w:uiPriority w:val="0"/>
    <w:pPr>
      <w:widowControl w:val="0"/>
      <w:jc w:val="both"/>
    </w:pPr>
    <w:rPr>
      <w:rFonts w:ascii="等线" w:hAnsi="等线" w:eastAsia="PMingLiU-ExtB" w:cs="Calibri"/>
      <w:kern w:val="2"/>
      <w:sz w:val="28"/>
      <w:szCs w:val="28"/>
      <w:lang w:eastAsia="zh-TW"/>
    </w:rPr>
  </w:style>
  <w:style w:type="paragraph" w:styleId="8">
    <w:name w:val="footer"/>
    <w:basedOn w:val="1"/>
    <w:unhideWhenUsed/>
    <w:qFormat/>
    <w:uiPriority w:val="99"/>
    <w:pPr>
      <w:tabs>
        <w:tab w:val="center" w:pos="4320"/>
        <w:tab w:val="right" w:pos="8640"/>
      </w:tabs>
    </w:pPr>
  </w:style>
  <w:style w:type="paragraph" w:styleId="9">
    <w:name w:val="header"/>
    <w:basedOn w:val="1"/>
    <w:unhideWhenUsed/>
    <w:qFormat/>
    <w:uiPriority w:val="99"/>
    <w:pPr>
      <w:tabs>
        <w:tab w:val="center" w:pos="4320"/>
        <w:tab w:val="right" w:pos="8640"/>
      </w:tabs>
    </w:pPr>
  </w:style>
  <w:style w:type="paragraph" w:styleId="10">
    <w:name w:val="Normal (Web)"/>
    <w:basedOn w:val="1"/>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无间隔1"/>
    <w:qFormat/>
    <w:uiPriority w:val="0"/>
    <w:rPr>
      <w:rFonts w:ascii="Times New Roman" w:hAnsi="Times New Roman" w:eastAsia="宋体" w:cs="Times New Roman"/>
      <w:sz w:val="22"/>
      <w:szCs w:val="22"/>
      <w:lang w:val="en-US" w:eastAsia="en-US" w:bidi="en-US"/>
    </w:rPr>
  </w:style>
  <w:style w:type="paragraph" w:styleId="16">
    <w:name w:val="List Paragraph"/>
    <w:basedOn w:val="1"/>
    <w:qFormat/>
    <w:uiPriority w:val="34"/>
    <w:pPr>
      <w:spacing w:after="120"/>
      <w:ind w:left="720"/>
      <w:contextualSpacing/>
    </w:pPr>
    <w:rPr>
      <w:rFonts w:asciiTheme="minorHAnsi" w:hAnsiTheme="minorHAnsi" w:eastAsiaTheme="minorEastAsia" w:cstheme="minorBidi"/>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6974</Words>
  <Characters>7299</Characters>
  <Lines>38</Lines>
  <Paragraphs>10</Paragraphs>
  <TotalTime>23</TotalTime>
  <ScaleCrop>false</ScaleCrop>
  <LinksUpToDate>false</LinksUpToDate>
  <CharactersWithSpaces>7531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2022-10-28T17:16:00Z</dcterms:created>
  <dc:creator>陈俏莉</dc:creator>
  <cp:lastModifiedBy>张宛琪</cp:lastModifiedBy>
  <cp:lastPrinted>2025-07-10T16:15:00Z</cp:lastPrinted>
  <dcterms:modified xsi:type="dcterms:W3CDTF">2025-12-01T09:50:55Z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F27FBCFB73614F1CAB45B2A39ADB11E7_13</vt:lpwstr>
  </property>
  <property fmtid="{D5CDD505-2E9C-101B-9397-08002B2CF9AE}" pid="4" name="KSOTemplateDocerSaveRecord">
    <vt:lpwstr>eyJoZGlkIjoiYjlkNjlmMDFkZjg1ZTQ0MjNjM2FjNzUyYjY0OGZjN2UiLCJ1c2VySWQiOiIxMDE0NDQwNTUzIn0=</vt:lpwstr>
  </property>
</Properties>
</file>