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0B88">
      <w:pPr>
        <w:spacing w:line="578"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3E00559F">
      <w:pPr>
        <w:spacing w:line="578" w:lineRule="exact"/>
        <w:jc w:val="center"/>
        <w:rPr>
          <w:rFonts w:ascii="方正小标宋简体" w:hAnsi="方正小标宋简体" w:eastAsia="方正小标宋简体" w:cs="方正小标宋简体"/>
          <w:color w:val="auto"/>
          <w:sz w:val="44"/>
          <w:szCs w:val="44"/>
          <w:highlight w:val="none"/>
        </w:rPr>
      </w:pPr>
    </w:p>
    <w:p w14:paraId="75D588B7">
      <w:pPr>
        <w:spacing w:line="578" w:lineRule="exact"/>
        <w:jc w:val="center"/>
        <w:outlineLvl w:val="0"/>
        <w:rPr>
          <w:rFonts w:cs="方正小标宋简体" w:asciiTheme="majorEastAsia" w:hAnsiTheme="majorEastAsia" w:eastAsiaTheme="majorEastAsia"/>
          <w:b/>
          <w:bCs/>
          <w:color w:val="auto"/>
          <w:sz w:val="44"/>
          <w:szCs w:val="44"/>
          <w:highlight w:val="none"/>
        </w:rPr>
      </w:pPr>
      <w:bookmarkStart w:id="0" w:name="_Toc1979"/>
      <w:bookmarkStart w:id="1" w:name="_Toc6678"/>
      <w:bookmarkStart w:id="2" w:name="_Toc7009"/>
      <w:r>
        <w:rPr>
          <w:rFonts w:hint="eastAsia" w:cs="方正小标宋简体" w:asciiTheme="majorEastAsia" w:hAnsiTheme="majorEastAsia" w:eastAsiaTheme="majorEastAsia"/>
          <w:b/>
          <w:bCs/>
          <w:color w:val="auto"/>
          <w:sz w:val="44"/>
          <w:szCs w:val="44"/>
          <w:highlight w:val="none"/>
        </w:rPr>
        <w:t>海南省财金集团有限公司</w:t>
      </w:r>
      <w:bookmarkEnd w:id="0"/>
      <w:bookmarkEnd w:id="1"/>
      <w:bookmarkEnd w:id="2"/>
    </w:p>
    <w:p w14:paraId="534DC1E1">
      <w:pPr>
        <w:spacing w:line="578" w:lineRule="exact"/>
        <w:jc w:val="center"/>
        <w:outlineLvl w:val="0"/>
        <w:rPr>
          <w:rFonts w:hint="eastAsia" w:cs="方正小标宋简体" w:asciiTheme="majorEastAsia" w:hAnsiTheme="majorEastAsia" w:eastAsiaTheme="majorEastAsia"/>
          <w:b/>
          <w:bCs/>
          <w:color w:val="auto"/>
          <w:sz w:val="44"/>
          <w:szCs w:val="44"/>
          <w:highlight w:val="none"/>
        </w:rPr>
      </w:pPr>
      <w:bookmarkStart w:id="3" w:name="_Toc23484"/>
      <w:bookmarkStart w:id="4" w:name="_Toc3620"/>
      <w:bookmarkStart w:id="5" w:name="_Toc20291"/>
      <w:r>
        <w:rPr>
          <w:rFonts w:hint="eastAsia" w:cs="方正小标宋简体" w:asciiTheme="majorEastAsia" w:hAnsiTheme="majorEastAsia" w:eastAsiaTheme="majorEastAsia"/>
          <w:b/>
          <w:bCs/>
          <w:color w:val="auto"/>
          <w:sz w:val="44"/>
          <w:szCs w:val="44"/>
          <w:highlight w:val="none"/>
          <w:u w:val="none"/>
        </w:rPr>
        <w:t>企业主体评级和债项评级服务采购项目</w:t>
      </w:r>
      <w:bookmarkEnd w:id="3"/>
      <w:bookmarkEnd w:id="4"/>
      <w:bookmarkEnd w:id="5"/>
    </w:p>
    <w:p w14:paraId="46A5FC44">
      <w:pPr>
        <w:spacing w:line="578" w:lineRule="exact"/>
        <w:jc w:val="center"/>
        <w:rPr>
          <w:rFonts w:hint="eastAsia" w:cs="方正小标宋简体" w:asciiTheme="majorEastAsia" w:hAnsiTheme="majorEastAsia" w:eastAsiaTheme="majorEastAsia"/>
          <w:b/>
          <w:bCs/>
          <w:color w:val="auto"/>
          <w:sz w:val="44"/>
          <w:szCs w:val="44"/>
          <w:highlight w:val="none"/>
        </w:rPr>
      </w:pPr>
    </w:p>
    <w:p w14:paraId="23DC8960">
      <w:pPr>
        <w:spacing w:line="578" w:lineRule="exact"/>
        <w:jc w:val="center"/>
        <w:rPr>
          <w:rFonts w:hint="eastAsia" w:cs="方正小标宋简体" w:asciiTheme="majorEastAsia" w:hAnsiTheme="majorEastAsia" w:eastAsiaTheme="majorEastAsia"/>
          <w:b/>
          <w:bCs/>
          <w:color w:val="auto"/>
          <w:sz w:val="44"/>
          <w:szCs w:val="44"/>
          <w:highlight w:val="none"/>
        </w:rPr>
      </w:pPr>
    </w:p>
    <w:p w14:paraId="6B9A70CC">
      <w:pPr>
        <w:spacing w:line="578" w:lineRule="exact"/>
        <w:jc w:val="center"/>
        <w:rPr>
          <w:rFonts w:hint="eastAsia" w:cs="方正小标宋简体" w:asciiTheme="majorEastAsia" w:hAnsiTheme="majorEastAsia" w:eastAsiaTheme="majorEastAsia"/>
          <w:b/>
          <w:bCs/>
          <w:color w:val="auto"/>
          <w:sz w:val="44"/>
          <w:szCs w:val="44"/>
          <w:highlight w:val="none"/>
        </w:rPr>
      </w:pPr>
    </w:p>
    <w:p w14:paraId="1162B4B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6" w:name="_Toc28255"/>
      <w:bookmarkStart w:id="7" w:name="_Toc18488"/>
      <w:bookmarkStart w:id="8" w:name="_Toc28748"/>
      <w:r>
        <w:rPr>
          <w:rFonts w:hint="eastAsia" w:cs="方正小标宋简体" w:asciiTheme="majorEastAsia" w:hAnsiTheme="majorEastAsia" w:eastAsiaTheme="majorEastAsia"/>
          <w:b/>
          <w:bCs/>
          <w:color w:val="auto"/>
          <w:sz w:val="84"/>
          <w:szCs w:val="84"/>
          <w:highlight w:val="none"/>
        </w:rPr>
        <w:t>比</w:t>
      </w:r>
      <w:bookmarkEnd w:id="6"/>
      <w:bookmarkEnd w:id="7"/>
      <w:bookmarkEnd w:id="8"/>
    </w:p>
    <w:p w14:paraId="2729C042">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9" w:name="_Toc13946"/>
      <w:bookmarkStart w:id="10" w:name="_Toc19528"/>
      <w:bookmarkStart w:id="11" w:name="_Toc22323"/>
      <w:r>
        <w:rPr>
          <w:rFonts w:hint="eastAsia" w:cs="方正小标宋简体" w:asciiTheme="majorEastAsia" w:hAnsiTheme="majorEastAsia" w:eastAsiaTheme="majorEastAsia"/>
          <w:b/>
          <w:bCs/>
          <w:color w:val="auto"/>
          <w:sz w:val="84"/>
          <w:szCs w:val="84"/>
          <w:highlight w:val="none"/>
        </w:rPr>
        <w:t>选</w:t>
      </w:r>
      <w:bookmarkEnd w:id="9"/>
      <w:bookmarkEnd w:id="10"/>
      <w:bookmarkEnd w:id="11"/>
    </w:p>
    <w:p w14:paraId="49E8540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12" w:name="_Toc6712"/>
      <w:bookmarkStart w:id="13" w:name="_Toc11518"/>
      <w:bookmarkStart w:id="14" w:name="_Toc24935"/>
      <w:r>
        <w:rPr>
          <w:rFonts w:hint="eastAsia" w:cs="方正小标宋简体" w:asciiTheme="majorEastAsia" w:hAnsiTheme="majorEastAsia" w:eastAsiaTheme="majorEastAsia"/>
          <w:b/>
          <w:bCs/>
          <w:color w:val="auto"/>
          <w:sz w:val="84"/>
          <w:szCs w:val="84"/>
          <w:highlight w:val="none"/>
        </w:rPr>
        <w:t>文</w:t>
      </w:r>
      <w:bookmarkEnd w:id="12"/>
      <w:bookmarkEnd w:id="13"/>
      <w:bookmarkEnd w:id="14"/>
    </w:p>
    <w:p w14:paraId="6FB752B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cs="方正小标宋简体" w:asciiTheme="majorEastAsia" w:hAnsiTheme="majorEastAsia" w:eastAsiaTheme="majorEastAsia"/>
          <w:b/>
          <w:bCs/>
          <w:color w:val="auto"/>
          <w:sz w:val="44"/>
          <w:szCs w:val="44"/>
          <w:highlight w:val="none"/>
        </w:rPr>
      </w:pPr>
      <w:bookmarkStart w:id="15" w:name="_Toc6015"/>
      <w:bookmarkStart w:id="16" w:name="_Toc10205"/>
      <w:bookmarkStart w:id="17" w:name="_Toc28480"/>
      <w:r>
        <w:rPr>
          <w:rFonts w:hint="eastAsia" w:cs="方正小标宋简体" w:asciiTheme="majorEastAsia" w:hAnsiTheme="majorEastAsia" w:eastAsiaTheme="majorEastAsia"/>
          <w:b/>
          <w:bCs/>
          <w:color w:val="auto"/>
          <w:sz w:val="84"/>
          <w:szCs w:val="84"/>
          <w:highlight w:val="none"/>
        </w:rPr>
        <w:t>件</w:t>
      </w:r>
      <w:bookmarkEnd w:id="15"/>
      <w:bookmarkEnd w:id="16"/>
      <w:bookmarkEnd w:id="17"/>
    </w:p>
    <w:p w14:paraId="08BB6378">
      <w:pPr>
        <w:rPr>
          <w:color w:val="auto"/>
          <w:highlight w:val="none"/>
        </w:rPr>
      </w:pPr>
    </w:p>
    <w:p w14:paraId="0FD41A71">
      <w:pPr>
        <w:rPr>
          <w:color w:val="auto"/>
          <w:highlight w:val="none"/>
        </w:rPr>
      </w:pPr>
    </w:p>
    <w:p w14:paraId="01C333F9">
      <w:pPr>
        <w:rPr>
          <w:color w:val="auto"/>
          <w:highlight w:val="none"/>
        </w:rPr>
      </w:pPr>
    </w:p>
    <w:p w14:paraId="12C36291">
      <w:pPr>
        <w:jc w:val="center"/>
        <w:rPr>
          <w:rFonts w:ascii="方正小标宋简体" w:hAnsi="方正小标宋简体" w:eastAsia="方正小标宋简体" w:cs="方正小标宋简体"/>
          <w:bCs/>
          <w:color w:val="auto"/>
          <w:sz w:val="36"/>
          <w:szCs w:val="36"/>
          <w:highlight w:val="none"/>
        </w:rPr>
      </w:pPr>
    </w:p>
    <w:p w14:paraId="26E78CA1">
      <w:pPr>
        <w:jc w:val="center"/>
        <w:rPr>
          <w:rFonts w:ascii="方正小标宋简体" w:hAnsi="方正小标宋简体" w:eastAsia="方正小标宋简体" w:cs="方正小标宋简体"/>
          <w:bCs/>
          <w:color w:val="auto"/>
          <w:sz w:val="36"/>
          <w:szCs w:val="36"/>
          <w:highlight w:val="none"/>
        </w:rPr>
      </w:pPr>
    </w:p>
    <w:p w14:paraId="56BDE5EE">
      <w:pPr>
        <w:jc w:val="center"/>
        <w:rPr>
          <w:rFonts w:ascii="方正小标宋简体" w:hAnsi="方正小标宋简体" w:eastAsia="方正小标宋简体" w:cs="方正小标宋简体"/>
          <w:bCs/>
          <w:color w:val="auto"/>
          <w:sz w:val="36"/>
          <w:szCs w:val="36"/>
          <w:highlight w:val="none"/>
        </w:rPr>
      </w:pPr>
    </w:p>
    <w:p w14:paraId="62287D36">
      <w:pPr>
        <w:jc w:val="center"/>
        <w:rPr>
          <w:rFonts w:ascii="方正小标宋简体" w:hAnsi="方正小标宋简体" w:eastAsia="方正小标宋简体" w:cs="方正小标宋简体"/>
          <w:bCs/>
          <w:color w:val="auto"/>
          <w:sz w:val="36"/>
          <w:szCs w:val="36"/>
          <w:highlight w:val="none"/>
        </w:rPr>
      </w:pPr>
    </w:p>
    <w:p w14:paraId="4F8529D6">
      <w:pPr>
        <w:jc w:val="center"/>
        <w:outlineLvl w:val="0"/>
        <w:rPr>
          <w:rFonts w:hint="eastAsia" w:ascii="方正小标宋简体" w:hAnsi="方正小标宋简体" w:eastAsia="方正小标宋简体" w:cs="方正小标宋简体"/>
          <w:bCs/>
          <w:color w:val="auto"/>
          <w:sz w:val="36"/>
          <w:szCs w:val="36"/>
          <w:highlight w:val="none"/>
        </w:rPr>
      </w:pPr>
      <w:bookmarkStart w:id="18" w:name="_Toc20502"/>
      <w:bookmarkStart w:id="19" w:name="_Toc29999"/>
      <w:bookmarkStart w:id="20" w:name="_Toc17603"/>
      <w:r>
        <w:rPr>
          <w:rFonts w:hint="eastAsia" w:ascii="方正小标宋简体" w:hAnsi="方正小标宋简体" w:eastAsia="方正小标宋简体" w:cs="方正小标宋简体"/>
          <w:bCs/>
          <w:color w:val="auto"/>
          <w:sz w:val="36"/>
          <w:szCs w:val="36"/>
          <w:highlight w:val="none"/>
          <w:lang w:val="en-US" w:eastAsia="zh-CN"/>
        </w:rPr>
        <w:t>比选</w:t>
      </w:r>
      <w:r>
        <w:rPr>
          <w:rFonts w:hint="eastAsia" w:ascii="方正小标宋简体" w:hAnsi="方正小标宋简体" w:eastAsia="方正小标宋简体" w:cs="方正小标宋简体"/>
          <w:bCs/>
          <w:color w:val="auto"/>
          <w:sz w:val="36"/>
          <w:szCs w:val="36"/>
          <w:highlight w:val="none"/>
        </w:rPr>
        <w:t>人：海南省财金集团有限公司</w:t>
      </w:r>
      <w:bookmarkEnd w:id="18"/>
      <w:bookmarkEnd w:id="19"/>
      <w:bookmarkEnd w:id="20"/>
    </w:p>
    <w:p w14:paraId="21030684">
      <w:pPr>
        <w:pStyle w:val="3"/>
        <w:outlineLvl w:val="9"/>
        <w:rPr>
          <w:color w:val="auto"/>
          <w:highlight w:val="none"/>
        </w:rPr>
      </w:pPr>
    </w:p>
    <w:p w14:paraId="1BCBACC3">
      <w:pPr>
        <w:jc w:val="center"/>
        <w:rPr>
          <w:color w:val="auto"/>
          <w:highlight w:val="none"/>
        </w:rPr>
      </w:pPr>
      <w:r>
        <w:rPr>
          <w:rFonts w:hint="eastAsia" w:ascii="方正小标宋简体" w:hAnsi="方正小标宋简体" w:eastAsia="方正小标宋简体" w:cs="方正小标宋简体"/>
          <w:bCs/>
          <w:color w:val="auto"/>
          <w:sz w:val="36"/>
          <w:szCs w:val="36"/>
          <w:highlight w:val="none"/>
        </w:rPr>
        <w:t>2025年</w:t>
      </w:r>
      <w:r>
        <w:rPr>
          <w:rFonts w:hint="eastAsia" w:ascii="方正小标宋简体" w:hAnsi="方正小标宋简体" w:eastAsia="方正小标宋简体" w:cs="方正小标宋简体"/>
          <w:bCs/>
          <w:color w:val="auto"/>
          <w:sz w:val="36"/>
          <w:szCs w:val="36"/>
          <w:highlight w:val="none"/>
          <w:lang w:val="en-US" w:eastAsia="zh-CN"/>
        </w:rPr>
        <w:t>11</w:t>
      </w:r>
      <w:r>
        <w:rPr>
          <w:rFonts w:hint="eastAsia" w:ascii="方正小标宋简体" w:hAnsi="方正小标宋简体" w:eastAsia="方正小标宋简体" w:cs="方正小标宋简体"/>
          <w:bCs/>
          <w:color w:val="auto"/>
          <w:sz w:val="36"/>
          <w:szCs w:val="36"/>
          <w:highlight w:val="none"/>
        </w:rPr>
        <w:t>月</w:t>
      </w:r>
      <w:r>
        <w:rPr>
          <w:rFonts w:hint="eastAsia"/>
          <w:color w:val="auto"/>
          <w:highlight w:val="none"/>
        </w:rPr>
        <w:t xml:space="preserve">    </w:t>
      </w:r>
    </w:p>
    <w:p w14:paraId="55FF0A83">
      <w:pPr>
        <w:rPr>
          <w:color w:val="auto"/>
          <w:highlight w:val="none"/>
        </w:rPr>
      </w:pPr>
    </w:p>
    <w:p w14:paraId="35D60A47">
      <w:pPr>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color w:val="auto"/>
          <w:highlight w:val="none"/>
        </w:rPr>
        <w:br w:type="page"/>
      </w:r>
    </w:p>
    <w:p w14:paraId="4015A4DB">
      <w:pPr>
        <w:numPr>
          <w:ilvl w:val="0"/>
          <w:numId w:val="2"/>
        </w:numPr>
        <w:spacing w:line="578" w:lineRule="exact"/>
        <w:ind w:firstLine="0"/>
        <w:jc w:val="center"/>
        <w:outlineLvl w:val="0"/>
        <w:rPr>
          <w:rFonts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响应人须知</w:t>
      </w:r>
    </w:p>
    <w:p w14:paraId="436BB21D">
      <w:pPr>
        <w:rPr>
          <w:color w:val="auto"/>
          <w:highlight w:val="none"/>
        </w:rPr>
      </w:pPr>
    </w:p>
    <w:p w14:paraId="592FC6BF">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eastAsia="zh-CN"/>
        </w:rPr>
        <w:t>为</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做好海南省财金集团有限公司</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发债工作</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我司拟通过比选方式采购</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信用评级服务</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现向社会公开邀请符合参选条件的信用评级机构参加本次比选，有关事项公告如下</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p>
    <w:p w14:paraId="3DA244C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1" w:name="_Toc10337"/>
      <w:bookmarkStart w:id="22" w:name="OLE_LINK12"/>
      <w:r>
        <w:rPr>
          <w:rFonts w:hint="eastAsia" w:ascii="仿宋" w:hAnsi="仿宋" w:eastAsia="仿宋" w:cs="仿宋"/>
          <w:b/>
          <w:bCs/>
          <w:color w:val="auto"/>
          <w:sz w:val="32"/>
          <w:szCs w:val="32"/>
          <w:highlight w:val="none"/>
          <w:lang w:val="en-US" w:eastAsia="zh-CN"/>
        </w:rPr>
        <w:t>一、项目基本情况</w:t>
      </w:r>
      <w:bookmarkEnd w:id="21"/>
    </w:p>
    <w:p w14:paraId="235D46C6">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（一）项目名称：企业</w:t>
      </w:r>
      <w:r>
        <w:rPr>
          <w:rFonts w:hint="eastAsia" w:ascii="仿宋" w:hAnsi="仿宋" w:eastAsia="仿宋" w:cs="仿宋"/>
          <w:color w:val="auto"/>
          <w:kern w:val="2"/>
          <w:sz w:val="32"/>
          <w:szCs w:val="32"/>
          <w:highlight w:val="none"/>
          <w:u w:val="none"/>
          <w:shd w:val="clear" w:color="auto" w:fill="auto"/>
          <w:lang w:val="en-US" w:eastAsia="zh-CN"/>
          <w14:ligatures w14:val="none"/>
        </w:rPr>
        <w:t>主体评级和债项评级服务采购项目</w:t>
      </w:r>
    </w:p>
    <w:p w14:paraId="34F5F0F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（二）项目地点：海南省海口市</w:t>
      </w:r>
    </w:p>
    <w:p w14:paraId="1EEC5C60">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（三）采购方式：比选</w:t>
      </w:r>
    </w:p>
    <w:p w14:paraId="4A2D9D17">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（四）</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项目内容和周期</w:t>
      </w:r>
    </w:p>
    <w:tbl>
      <w:tblPr>
        <w:tblStyle w:val="1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225"/>
        <w:gridCol w:w="4187"/>
        <w:gridCol w:w="2171"/>
      </w:tblGrid>
      <w:tr w14:paraId="60B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97" w:type="dxa"/>
            <w:vAlign w:val="center"/>
          </w:tcPr>
          <w:p w14:paraId="1F590209">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服务</w:t>
            </w:r>
            <w:r>
              <w:rPr>
                <w:rFonts w:hint="eastAsia" w:ascii="仿宋_GB2312" w:hAnsi="仿宋_GB2312" w:eastAsia="仿宋_GB2312" w:cs="仿宋_GB2312"/>
                <w:b/>
                <w:bCs/>
                <w:color w:val="auto"/>
                <w:sz w:val="24"/>
                <w:szCs w:val="24"/>
                <w:highlight w:val="none"/>
              </w:rPr>
              <w:t>项目</w:t>
            </w:r>
          </w:p>
        </w:tc>
        <w:tc>
          <w:tcPr>
            <w:tcW w:w="1225" w:type="dxa"/>
            <w:vAlign w:val="center"/>
          </w:tcPr>
          <w:p w14:paraId="10CD2A60">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服务周期</w:t>
            </w:r>
          </w:p>
        </w:tc>
        <w:tc>
          <w:tcPr>
            <w:tcW w:w="4187" w:type="dxa"/>
            <w:vAlign w:val="center"/>
          </w:tcPr>
          <w:p w14:paraId="33769E88">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内容说明</w:t>
            </w:r>
          </w:p>
        </w:tc>
        <w:tc>
          <w:tcPr>
            <w:tcW w:w="2171" w:type="dxa"/>
            <w:vAlign w:val="center"/>
          </w:tcPr>
          <w:p w14:paraId="4D1D087C">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备注</w:t>
            </w:r>
          </w:p>
        </w:tc>
      </w:tr>
      <w:tr w14:paraId="3276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Align w:val="center"/>
          </w:tcPr>
          <w:p w14:paraId="6E188B61">
            <w:pPr>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主体评级</w:t>
            </w:r>
          </w:p>
        </w:tc>
        <w:tc>
          <w:tcPr>
            <w:tcW w:w="1225" w:type="dxa"/>
            <w:vAlign w:val="center"/>
          </w:tcPr>
          <w:p w14:paraId="50EB2B96">
            <w:pPr>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三年</w:t>
            </w:r>
          </w:p>
        </w:tc>
        <w:tc>
          <w:tcPr>
            <w:tcW w:w="4187" w:type="dxa"/>
            <w:vAlign w:val="center"/>
          </w:tcPr>
          <w:p w14:paraId="5ABC0973">
            <w:pPr>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每年</w:t>
            </w:r>
            <w:r>
              <w:rPr>
                <w:rFonts w:hint="eastAsia" w:ascii="仿宋_GB2312" w:hAnsi="仿宋_GB2312" w:eastAsia="仿宋_GB2312" w:cs="仿宋_GB2312"/>
                <w:b w:val="0"/>
                <w:bCs w:val="0"/>
                <w:color w:val="auto"/>
                <w:sz w:val="24"/>
                <w:szCs w:val="24"/>
                <w:highlight w:val="none"/>
              </w:rPr>
              <w:t>出具</w:t>
            </w:r>
            <w:r>
              <w:rPr>
                <w:rFonts w:hint="eastAsia" w:ascii="仿宋_GB2312" w:hAnsi="仿宋_GB2312" w:eastAsia="仿宋_GB2312" w:cs="仿宋_GB2312"/>
                <w:b w:val="0"/>
                <w:bCs w:val="0"/>
                <w:color w:val="auto"/>
                <w:sz w:val="24"/>
                <w:szCs w:val="24"/>
                <w:highlight w:val="none"/>
                <w:lang w:val="en-US" w:eastAsia="zh-CN"/>
              </w:rPr>
              <w:t>1次主体</w:t>
            </w:r>
            <w:r>
              <w:rPr>
                <w:rFonts w:hint="eastAsia" w:ascii="仿宋_GB2312" w:hAnsi="仿宋_GB2312" w:eastAsia="仿宋_GB2312" w:cs="仿宋_GB2312"/>
                <w:b w:val="0"/>
                <w:bCs w:val="0"/>
                <w:color w:val="auto"/>
                <w:sz w:val="24"/>
                <w:szCs w:val="24"/>
                <w:highlight w:val="none"/>
              </w:rPr>
              <w:t>评级报告</w:t>
            </w:r>
          </w:p>
        </w:tc>
        <w:tc>
          <w:tcPr>
            <w:tcW w:w="2171" w:type="dxa"/>
            <w:vAlign w:val="center"/>
          </w:tcPr>
          <w:p w14:paraId="2B3E706F">
            <w:pPr>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合同按年签订，集团有权单方面</w:t>
            </w:r>
            <w:r>
              <w:rPr>
                <w:rFonts w:hint="eastAsia" w:ascii="仿宋_GB2312" w:hAnsi="仿宋_GB2312" w:eastAsia="仿宋_GB2312" w:cs="仿宋_GB2312"/>
                <w:b w:val="0"/>
                <w:bCs w:val="0"/>
                <w:color w:val="auto"/>
                <w:sz w:val="24"/>
                <w:szCs w:val="24"/>
                <w:highlight w:val="none"/>
                <w:lang w:val="en-US" w:eastAsia="zh-CN"/>
              </w:rPr>
              <w:t>决定主体评级次数、有权单方面决定</w:t>
            </w:r>
            <w:r>
              <w:rPr>
                <w:rFonts w:hint="eastAsia" w:ascii="仿宋_GB2312" w:hAnsi="仿宋_GB2312" w:eastAsia="仿宋_GB2312" w:cs="仿宋_GB2312"/>
                <w:b w:val="0"/>
                <w:bCs w:val="0"/>
                <w:color w:val="auto"/>
                <w:sz w:val="24"/>
                <w:szCs w:val="24"/>
                <w:highlight w:val="none"/>
                <w:lang w:eastAsia="zh-CN"/>
              </w:rPr>
              <w:t>是否续约</w:t>
            </w:r>
          </w:p>
        </w:tc>
      </w:tr>
      <w:tr w14:paraId="010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Align w:val="center"/>
          </w:tcPr>
          <w:p w14:paraId="193ED999">
            <w:pPr>
              <w:jc w:val="both"/>
              <w:rPr>
                <w:rFonts w:hint="eastAsia"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color w:val="auto"/>
                <w:sz w:val="24"/>
                <w:szCs w:val="24"/>
                <w:highlight w:val="none"/>
                <w:lang w:val="en-US" w:eastAsia="zh-CN"/>
              </w:rPr>
              <w:t>首个批文的债项评级，以及数据更新、分期发行、跟踪评级服务</w:t>
            </w:r>
          </w:p>
        </w:tc>
        <w:tc>
          <w:tcPr>
            <w:tcW w:w="1225" w:type="dxa"/>
            <w:vAlign w:val="center"/>
          </w:tcPr>
          <w:p w14:paraId="53941806">
            <w:pPr>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债券存续期</w:t>
            </w:r>
            <w:r>
              <w:rPr>
                <w:rFonts w:hint="eastAsia" w:ascii="仿宋_GB2312" w:hAnsi="仿宋_GB2312" w:eastAsia="仿宋_GB2312" w:cs="仿宋_GB2312"/>
                <w:b w:val="0"/>
                <w:bCs w:val="0"/>
                <w:color w:val="auto"/>
                <w:sz w:val="24"/>
                <w:szCs w:val="24"/>
                <w:highlight w:val="none"/>
                <w:lang w:val="en-US" w:eastAsia="zh-CN"/>
              </w:rPr>
              <w:t>间</w:t>
            </w:r>
          </w:p>
        </w:tc>
        <w:tc>
          <w:tcPr>
            <w:tcW w:w="4187" w:type="dxa"/>
            <w:vAlign w:val="center"/>
          </w:tcPr>
          <w:p w14:paraId="45160771">
            <w:pPr>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首个批文预计需要债项评级1次、分期发行服务1次，跟踪评级服务8次。</w:t>
            </w:r>
          </w:p>
          <w:p w14:paraId="38C54A8C">
            <w:pPr>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数据更新服务次数不确定，如果出现发行暂缓，导致原先的报告需要更新数据、重新出具报告的，才会触发数据更新。如果发行顺利，完全有可能在整个发行阶段都不触发数据更新。</w:t>
            </w:r>
          </w:p>
          <w:p w14:paraId="27060DCE">
            <w:pPr>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上述服务内容按实际需要发生为准。</w:t>
            </w:r>
          </w:p>
        </w:tc>
        <w:tc>
          <w:tcPr>
            <w:tcW w:w="2171" w:type="dxa"/>
            <w:vAlign w:val="center"/>
          </w:tcPr>
          <w:p w14:paraId="5B4A0124">
            <w:pPr>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非强制性要求，可根据承销商和监管意见再由集团按需采购，合同按服务包签订</w:t>
            </w:r>
          </w:p>
        </w:tc>
      </w:tr>
    </w:tbl>
    <w:p w14:paraId="063C036C">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（五）</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采购预算</w:t>
      </w:r>
    </w:p>
    <w:tbl>
      <w:tblPr>
        <w:tblStyle w:val="16"/>
        <w:tblpPr w:leftFromText="180" w:rightFromText="180" w:vertAnchor="text" w:horzAnchor="page" w:tblpXSpec="center" w:tblpY="134"/>
        <w:tblOverlap w:val="never"/>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1625"/>
        <w:gridCol w:w="2787"/>
        <w:gridCol w:w="1789"/>
      </w:tblGrid>
      <w:tr w14:paraId="4A75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16" w:type="dxa"/>
            <w:vAlign w:val="center"/>
          </w:tcPr>
          <w:p w14:paraId="1CE38124">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服务项目</w:t>
            </w:r>
          </w:p>
        </w:tc>
        <w:tc>
          <w:tcPr>
            <w:tcW w:w="1625" w:type="dxa"/>
            <w:vAlign w:val="center"/>
          </w:tcPr>
          <w:p w14:paraId="7DF81964">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服务周期</w:t>
            </w:r>
          </w:p>
        </w:tc>
        <w:tc>
          <w:tcPr>
            <w:tcW w:w="2787" w:type="dxa"/>
            <w:vAlign w:val="center"/>
          </w:tcPr>
          <w:p w14:paraId="1744514B">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最高控制价</w:t>
            </w:r>
          </w:p>
        </w:tc>
        <w:tc>
          <w:tcPr>
            <w:tcW w:w="1789" w:type="dxa"/>
            <w:vAlign w:val="center"/>
          </w:tcPr>
          <w:p w14:paraId="0677285D">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备注</w:t>
            </w:r>
          </w:p>
        </w:tc>
      </w:tr>
      <w:tr w14:paraId="1049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center"/>
          </w:tcPr>
          <w:p w14:paraId="21B1A408">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主体评级</w:t>
            </w:r>
          </w:p>
        </w:tc>
        <w:tc>
          <w:tcPr>
            <w:tcW w:w="1625" w:type="dxa"/>
            <w:vAlign w:val="center"/>
          </w:tcPr>
          <w:p w14:paraId="47026F8D">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三</w:t>
            </w:r>
            <w:r>
              <w:rPr>
                <w:rFonts w:hint="default" w:ascii="Times New Roman" w:hAnsi="Times New Roman" w:eastAsia="仿宋_GB2312" w:cs="Times New Roman"/>
                <w:color w:val="auto"/>
                <w:sz w:val="24"/>
                <w:szCs w:val="24"/>
                <w:highlight w:val="none"/>
                <w:vertAlign w:val="baseline"/>
                <w:lang w:val="en-US" w:eastAsia="zh-CN"/>
              </w:rPr>
              <w:t>年</w:t>
            </w:r>
          </w:p>
        </w:tc>
        <w:tc>
          <w:tcPr>
            <w:tcW w:w="2787" w:type="dxa"/>
            <w:vAlign w:val="center"/>
          </w:tcPr>
          <w:p w14:paraId="252A573F">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总价60万元</w:t>
            </w:r>
          </w:p>
          <w:p w14:paraId="04458AEC">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20万元/年</w:t>
            </w:r>
          </w:p>
        </w:tc>
        <w:tc>
          <w:tcPr>
            <w:tcW w:w="1789" w:type="dxa"/>
            <w:vAlign w:val="center"/>
          </w:tcPr>
          <w:p w14:paraId="114AE864">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总价和单价，双维度同时限价</w:t>
            </w:r>
          </w:p>
        </w:tc>
      </w:tr>
      <w:tr w14:paraId="5107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center"/>
          </w:tcPr>
          <w:p w14:paraId="3DDBEFC4">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首个批文债项评级，以及数据更新、分期发行、跟踪评级服务</w:t>
            </w:r>
          </w:p>
        </w:tc>
        <w:tc>
          <w:tcPr>
            <w:tcW w:w="1625" w:type="dxa"/>
            <w:vAlign w:val="center"/>
          </w:tcPr>
          <w:p w14:paraId="280D80AD">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债券存续期</w:t>
            </w:r>
          </w:p>
        </w:tc>
        <w:tc>
          <w:tcPr>
            <w:tcW w:w="2787" w:type="dxa"/>
            <w:vAlign w:val="center"/>
          </w:tcPr>
          <w:p w14:paraId="176F00B4">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15万</w:t>
            </w:r>
          </w:p>
        </w:tc>
        <w:tc>
          <w:tcPr>
            <w:tcW w:w="1789" w:type="dxa"/>
            <w:vAlign w:val="center"/>
          </w:tcPr>
          <w:p w14:paraId="1221E70A">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整个债券存续期间的打包价</w:t>
            </w:r>
          </w:p>
        </w:tc>
      </w:tr>
      <w:tr w14:paraId="744A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center"/>
          </w:tcPr>
          <w:p w14:paraId="5C3C60D8">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合计</w:t>
            </w:r>
          </w:p>
        </w:tc>
        <w:tc>
          <w:tcPr>
            <w:tcW w:w="1625" w:type="dxa"/>
            <w:vAlign w:val="center"/>
          </w:tcPr>
          <w:p w14:paraId="57352B58">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p>
        </w:tc>
        <w:tc>
          <w:tcPr>
            <w:tcW w:w="2787" w:type="dxa"/>
            <w:vAlign w:val="center"/>
          </w:tcPr>
          <w:p w14:paraId="39720500">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75万</w:t>
            </w:r>
          </w:p>
        </w:tc>
        <w:tc>
          <w:tcPr>
            <w:tcW w:w="1789" w:type="dxa"/>
            <w:vAlign w:val="center"/>
          </w:tcPr>
          <w:p w14:paraId="39C97B85">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p>
        </w:tc>
      </w:tr>
    </w:tbl>
    <w:p w14:paraId="7000AEF8">
      <w:pPr>
        <w:ind w:firstLine="640" w:firstLineChars="200"/>
        <w:rPr>
          <w:rFonts w:hint="eastAsia" w:ascii="仿宋" w:hAnsi="仿宋" w:eastAsia="仿宋" w:cs="仿宋"/>
          <w:color w:val="auto"/>
          <w:sz w:val="32"/>
          <w:szCs w:val="32"/>
          <w:highlight w:val="none"/>
          <w:lang w:eastAsia="zh-CN"/>
        </w:rPr>
      </w:pPr>
      <w:r>
        <w:rPr>
          <w:rFonts w:hint="default" w:ascii="Times New Roman" w:hAnsi="Times New Roman" w:eastAsia="仿宋_GB2312" w:cs="Times New Roman"/>
          <w:color w:val="auto"/>
          <w:sz w:val="32"/>
          <w:szCs w:val="32"/>
          <w:highlight w:val="none"/>
          <w:rtl w:val="0"/>
          <w:lang w:val="en-US" w:eastAsia="zh-CN"/>
        </w:rPr>
        <w:t>供应商的报价（含税）不能高于每个服务项目的最高控制价，否则将被视为无效报价，按废标处理。</w:t>
      </w:r>
    </w:p>
    <w:p w14:paraId="59638DE9">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3" w:name="_Toc21709"/>
      <w:r>
        <w:rPr>
          <w:rFonts w:hint="eastAsia" w:ascii="仿宋" w:hAnsi="仿宋" w:eastAsia="仿宋" w:cs="仿宋"/>
          <w:b/>
          <w:bCs/>
          <w:color w:val="auto"/>
          <w:sz w:val="32"/>
          <w:szCs w:val="32"/>
          <w:highlight w:val="none"/>
          <w:lang w:val="en-US" w:eastAsia="zh-CN"/>
        </w:rPr>
        <w:t>二、响应人资格要求</w:t>
      </w:r>
      <w:bookmarkEnd w:id="23"/>
    </w:p>
    <w:p w14:paraId="3C91074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eastAsia" w:ascii="Times New Roman" w:hAnsi="Times New Roman" w:eastAsia="仿宋_GB2312" w:cs="Times New Roman"/>
          <w:color w:val="auto"/>
          <w:sz w:val="32"/>
          <w:szCs w:val="32"/>
          <w:highlight w:val="none"/>
          <w:rtl w:val="0"/>
          <w:lang w:val="en-US" w:eastAsia="zh-CN"/>
        </w:rPr>
        <w:t>参选响应人需同时满足以下条件，否则不得进入评分环节：</w:t>
      </w:r>
    </w:p>
    <w:p w14:paraId="7FB56213">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1.资质要求：具有独立法人资格并依法取得企业法人营业执照，同时具有中国人民银行、中国证监会和中国银行间市场交易商协</w:t>
      </w:r>
      <w:r>
        <w:rPr>
          <w:rFonts w:hint="eastAsia" w:ascii="Times New Roman" w:hAnsi="Times New Roman" w:eastAsia="仿宋_GB2312" w:cs="Times New Roman"/>
          <w:color w:val="auto"/>
          <w:sz w:val="32"/>
          <w:szCs w:val="32"/>
          <w:highlight w:val="none"/>
          <w:rtl w:val="0"/>
          <w:lang w:val="en-US" w:eastAsia="zh-CN"/>
        </w:rPr>
        <w:t>会</w:t>
      </w:r>
      <w:r>
        <w:rPr>
          <w:rFonts w:hint="default" w:ascii="Times New Roman" w:hAnsi="Times New Roman" w:eastAsia="仿宋_GB2312" w:cs="Times New Roman"/>
          <w:color w:val="auto"/>
          <w:sz w:val="32"/>
          <w:szCs w:val="32"/>
          <w:highlight w:val="none"/>
          <w:rtl w:val="0"/>
          <w:lang w:val="en-US" w:eastAsia="zh-CN"/>
        </w:rPr>
        <w:t>等相关部门颁发或认可的信用评级业务资质（提供资质证书复印件并加盖公章）；</w:t>
      </w:r>
    </w:p>
    <w:p w14:paraId="6D5288FF">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2.监管合规：</w:t>
      </w:r>
      <w:r>
        <w:rPr>
          <w:rFonts w:hint="eastAsia" w:ascii="Times New Roman" w:hAnsi="Times New Roman" w:eastAsia="仿宋_GB2312" w:cs="Times New Roman"/>
          <w:color w:val="auto"/>
          <w:sz w:val="32"/>
          <w:szCs w:val="32"/>
          <w:highlight w:val="none"/>
          <w:rtl w:val="0"/>
          <w:lang w:val="en-US" w:eastAsia="zh-CN"/>
        </w:rPr>
        <w:t>近3年（自2022年9月1日起至本项目响应文件提交截止之日止）</w:t>
      </w:r>
      <w:r>
        <w:rPr>
          <w:rFonts w:hint="default" w:ascii="Times New Roman" w:hAnsi="Times New Roman" w:eastAsia="仿宋_GB2312" w:cs="Times New Roman"/>
          <w:color w:val="auto"/>
          <w:sz w:val="32"/>
          <w:szCs w:val="32"/>
          <w:highlight w:val="none"/>
          <w:rtl w:val="0"/>
          <w:lang w:val="en-US" w:eastAsia="zh-CN"/>
        </w:rPr>
        <w:t>在经营活动中无</w:t>
      </w:r>
      <w:r>
        <w:rPr>
          <w:rFonts w:hint="eastAsia" w:ascii="Times New Roman" w:hAnsi="Times New Roman" w:eastAsia="仿宋_GB2312" w:cs="Times New Roman"/>
          <w:color w:val="auto"/>
          <w:sz w:val="32"/>
          <w:szCs w:val="32"/>
          <w:highlight w:val="none"/>
          <w:rtl w:val="0"/>
          <w:lang w:val="en-US" w:eastAsia="zh-CN"/>
        </w:rPr>
        <w:t>以下</w:t>
      </w:r>
      <w:r>
        <w:rPr>
          <w:rFonts w:hint="default" w:ascii="Times New Roman" w:hAnsi="Times New Roman" w:eastAsia="仿宋_GB2312" w:cs="Times New Roman"/>
          <w:color w:val="auto"/>
          <w:sz w:val="32"/>
          <w:szCs w:val="32"/>
          <w:highlight w:val="none"/>
          <w:rtl w:val="0"/>
          <w:lang w:val="en-US" w:eastAsia="zh-CN"/>
        </w:rPr>
        <w:t>不良行为记录：没有处于被责令停业、投标资格被取消、财产被接管、冻结、破产状态，在经营活动中没有重大违法记录（声明格式</w:t>
      </w:r>
      <w:r>
        <w:rPr>
          <w:rFonts w:hint="eastAsia" w:ascii="Times New Roman" w:hAnsi="Times New Roman" w:eastAsia="仿宋_GB2312" w:cs="Times New Roman"/>
          <w:color w:val="auto"/>
          <w:sz w:val="32"/>
          <w:szCs w:val="32"/>
          <w:highlight w:val="none"/>
          <w:rtl w:val="0"/>
          <w:lang w:val="en-US" w:eastAsia="zh-CN"/>
        </w:rPr>
        <w:t>见附件4</w:t>
      </w:r>
      <w:r>
        <w:rPr>
          <w:rFonts w:hint="default" w:ascii="Times New Roman" w:hAnsi="Times New Roman" w:eastAsia="仿宋_GB2312" w:cs="Times New Roman"/>
          <w:color w:val="auto"/>
          <w:sz w:val="32"/>
          <w:szCs w:val="32"/>
          <w:highlight w:val="none"/>
          <w:rtl w:val="0"/>
          <w:lang w:val="en-US" w:eastAsia="zh-CN"/>
        </w:rPr>
        <w:t>，加盖公章，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DC2443C">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3.信用状况：在“信用中国”网站（www.creditchina.gov.cn）未被列入失信被执行人、重大税收违法失信主体、政府采购严重违法失信记录名单；在中国政府采购网（www.ccgp.gov.cn）未被列入政府采购严重违法失信行为记录名单、政府采购代理机构不良行为记录名单；在中国执行网（http://zxgk.court.gov.cn/shixin/）未被列入失信被执行人名单（提供网站查询截图并加盖公章）；</w:t>
      </w:r>
    </w:p>
    <w:p w14:paraId="391999B1">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4.关联关系：</w:t>
      </w:r>
      <w:r>
        <w:rPr>
          <w:rFonts w:hint="eastAsia" w:ascii="Times New Roman" w:hAnsi="Times New Roman" w:eastAsia="仿宋_GB2312" w:cs="Times New Roman"/>
          <w:color w:val="auto"/>
          <w:sz w:val="32"/>
          <w:szCs w:val="32"/>
          <w:highlight w:val="none"/>
          <w:rtl w:val="0"/>
          <w:lang w:val="en-US" w:eastAsia="zh-CN"/>
        </w:rPr>
        <w:t>法定代表人</w:t>
      </w:r>
      <w:r>
        <w:rPr>
          <w:rFonts w:hint="default" w:ascii="Times New Roman" w:hAnsi="Times New Roman" w:eastAsia="仿宋_GB2312" w:cs="Times New Roman"/>
          <w:color w:val="auto"/>
          <w:sz w:val="32"/>
          <w:szCs w:val="32"/>
          <w:highlight w:val="none"/>
          <w:rtl w:val="0"/>
          <w:lang w:val="en-US" w:eastAsia="zh-CN"/>
        </w:rPr>
        <w:t>为同一人或者存在直接控股、管理关系的不同供应商，不得同时参加本项目的</w:t>
      </w:r>
      <w:r>
        <w:rPr>
          <w:rFonts w:hint="eastAsia" w:ascii="Times New Roman" w:hAnsi="Times New Roman" w:eastAsia="仿宋_GB2312" w:cs="Times New Roman"/>
          <w:color w:val="auto"/>
          <w:sz w:val="32"/>
          <w:szCs w:val="32"/>
          <w:highlight w:val="none"/>
          <w:rtl w:val="0"/>
          <w:lang w:val="en-US" w:eastAsia="zh-CN"/>
        </w:rPr>
        <w:t>比</w:t>
      </w:r>
      <w:r>
        <w:rPr>
          <w:rFonts w:hint="default" w:ascii="Times New Roman" w:hAnsi="Times New Roman" w:eastAsia="仿宋_GB2312" w:cs="Times New Roman"/>
          <w:color w:val="auto"/>
          <w:sz w:val="32"/>
          <w:szCs w:val="32"/>
          <w:highlight w:val="none"/>
          <w:rtl w:val="0"/>
          <w:lang w:val="en-US" w:eastAsia="zh-CN"/>
        </w:rPr>
        <w:t>选（声明格式自拟，加盖公章，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46F37D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5.独立性：本项目不接受联合体投标，不得转包和分包（声明格式自拟，加盖公章，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r>
        <w:rPr>
          <w:rFonts w:hint="eastAsia" w:ascii="Times New Roman" w:hAnsi="Times New Roman" w:eastAsia="仿宋_GB2312" w:cs="Times New Roman"/>
          <w:color w:val="auto"/>
          <w:sz w:val="32"/>
          <w:szCs w:val="32"/>
          <w:highlight w:val="none"/>
          <w:rtl w:val="0"/>
          <w:lang w:val="en-US" w:eastAsia="zh-CN"/>
        </w:rPr>
        <w:t>。</w:t>
      </w:r>
    </w:p>
    <w:p w14:paraId="6E6CCF9F">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4" w:name="_Toc13588"/>
      <w:r>
        <w:rPr>
          <w:rFonts w:hint="eastAsia" w:ascii="仿宋" w:hAnsi="仿宋" w:eastAsia="仿宋" w:cs="仿宋"/>
          <w:b/>
          <w:bCs/>
          <w:color w:val="auto"/>
          <w:sz w:val="32"/>
          <w:szCs w:val="32"/>
          <w:highlight w:val="none"/>
          <w:lang w:val="en-US" w:eastAsia="zh-CN"/>
        </w:rPr>
        <w:t>三、比选文件获取</w:t>
      </w:r>
      <w:bookmarkEnd w:id="24"/>
    </w:p>
    <w:p w14:paraId="44175150">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1.凡有意参加比选者请在我司微信公众号或官网上自行下载比选文件。</w:t>
      </w:r>
    </w:p>
    <w:p w14:paraId="6558D52E">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2.响应人若对比选文件有任何疑问,应于2025年11月13日17:00时(北京时间)前(含)以不署名的形式发送邮件至邮箱(zhangshuwen@hncjjt.com.cn),疑问不得透露单位和个人信息,不得出现响应人单位名称。</w:t>
      </w:r>
    </w:p>
    <w:p w14:paraId="1FC577D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3.有关项目的公告、答疑文件、比选文件的修改以及澄清等信息将在我司微信公众号或官网上发布,敬请获得比选文件的所有响应人关注,恕不另行通知,如有遗漏比选人概不负责。</w:t>
      </w:r>
    </w:p>
    <w:p w14:paraId="4F4AD87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5" w:name="_Toc21711"/>
      <w:r>
        <w:rPr>
          <w:rFonts w:hint="eastAsia" w:ascii="仿宋" w:hAnsi="仿宋" w:eastAsia="仿宋" w:cs="仿宋"/>
          <w:b/>
          <w:bCs/>
          <w:color w:val="auto"/>
          <w:sz w:val="32"/>
          <w:szCs w:val="32"/>
          <w:highlight w:val="none"/>
          <w:lang w:val="en-US" w:eastAsia="zh-CN"/>
        </w:rPr>
        <w:t>四、响应文件递交</w:t>
      </w:r>
      <w:bookmarkEnd w:id="25"/>
    </w:p>
    <w:p w14:paraId="069C2610">
      <w:pPr>
        <w:pStyle w:val="23"/>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zh-TW" w:eastAsia="zh-CN" w:bidi="ar-SA"/>
          <w14:ligatures w14:val="standardContextual"/>
        </w:rPr>
        <w:t>1</w:t>
      </w:r>
      <w:r>
        <w:rPr>
          <w:rFonts w:hint="eastAsia" w:ascii="仿宋" w:hAnsi="仿宋" w:eastAsia="仿宋" w:cs="仿宋"/>
          <w:color w:val="auto"/>
          <w:kern w:val="2"/>
          <w:sz w:val="32"/>
          <w:szCs w:val="32"/>
          <w:highlight w:val="none"/>
          <w:lang w:val="en-US" w:eastAsia="zh-CN" w:bidi="ar-SA"/>
          <w14:ligatures w14:val="standardContextual"/>
        </w:rPr>
        <w:t>.送达</w:t>
      </w:r>
      <w:r>
        <w:rPr>
          <w:rFonts w:hint="eastAsia" w:ascii="仿宋" w:hAnsi="仿宋" w:eastAsia="仿宋" w:cs="仿宋"/>
          <w:color w:val="auto"/>
          <w:kern w:val="2"/>
          <w:sz w:val="32"/>
          <w:szCs w:val="32"/>
          <w:highlight w:val="none"/>
          <w:lang w:val="zh-TW" w:eastAsia="zh-CN" w:bidi="ar-SA"/>
          <w14:ligatures w14:val="standardContextual"/>
        </w:rPr>
        <w:t>截止时间：</w:t>
      </w:r>
      <w:r>
        <w:rPr>
          <w:rFonts w:hint="eastAsia" w:ascii="仿宋" w:hAnsi="仿宋" w:eastAsia="仿宋" w:cs="仿宋"/>
          <w:b/>
          <w:bCs/>
          <w:color w:val="auto"/>
          <w:kern w:val="2"/>
          <w:sz w:val="32"/>
          <w:szCs w:val="32"/>
          <w:highlight w:val="none"/>
          <w:lang w:val="zh-TW" w:eastAsia="zh-CN" w:bidi="ar-SA"/>
          <w14:ligatures w14:val="standardContextual"/>
        </w:rPr>
        <w:t>2025年</w:t>
      </w:r>
      <w:r>
        <w:rPr>
          <w:rFonts w:hint="eastAsia" w:ascii="仿宋" w:hAnsi="仿宋" w:eastAsia="仿宋" w:cs="仿宋"/>
          <w:b/>
          <w:bCs/>
          <w:color w:val="auto"/>
          <w:kern w:val="2"/>
          <w:sz w:val="32"/>
          <w:szCs w:val="32"/>
          <w:highlight w:val="none"/>
          <w:lang w:val="en-US" w:eastAsia="zh-CN" w:bidi="ar-SA"/>
          <w14:ligatures w14:val="standardContextual"/>
        </w:rPr>
        <w:t>11</w:t>
      </w:r>
      <w:r>
        <w:rPr>
          <w:rFonts w:hint="eastAsia" w:ascii="仿宋" w:hAnsi="仿宋" w:eastAsia="仿宋" w:cs="仿宋"/>
          <w:b/>
          <w:bCs/>
          <w:color w:val="auto"/>
          <w:kern w:val="2"/>
          <w:sz w:val="32"/>
          <w:szCs w:val="32"/>
          <w:highlight w:val="none"/>
          <w:lang w:val="zh-TW" w:eastAsia="zh-CN" w:bidi="ar-SA"/>
          <w14:ligatures w14:val="standardContextual"/>
        </w:rPr>
        <w:t>月</w:t>
      </w:r>
      <w:r>
        <w:rPr>
          <w:rFonts w:hint="eastAsia" w:ascii="仿宋" w:hAnsi="仿宋" w:eastAsia="仿宋" w:cs="仿宋"/>
          <w:b/>
          <w:bCs/>
          <w:color w:val="auto"/>
          <w:kern w:val="2"/>
          <w:sz w:val="32"/>
          <w:szCs w:val="32"/>
          <w:highlight w:val="none"/>
          <w:lang w:val="en-US" w:eastAsia="zh-CN" w:bidi="ar-SA"/>
          <w14:ligatures w14:val="standardContextual"/>
        </w:rPr>
        <w:t>19</w:t>
      </w:r>
      <w:r>
        <w:rPr>
          <w:rFonts w:hint="eastAsia" w:ascii="仿宋" w:hAnsi="仿宋" w:eastAsia="仿宋" w:cs="仿宋"/>
          <w:b/>
          <w:bCs/>
          <w:color w:val="auto"/>
          <w:kern w:val="2"/>
          <w:sz w:val="32"/>
          <w:szCs w:val="32"/>
          <w:highlight w:val="none"/>
          <w:lang w:val="zh-TW" w:eastAsia="zh-CN" w:bidi="ar-SA"/>
          <w14:ligatures w14:val="standardContextual"/>
        </w:rPr>
        <w:t>日1</w:t>
      </w:r>
      <w:r>
        <w:rPr>
          <w:rFonts w:hint="eastAsia" w:ascii="仿宋" w:hAnsi="仿宋" w:eastAsia="仿宋" w:cs="仿宋"/>
          <w:b/>
          <w:bCs/>
          <w:color w:val="auto"/>
          <w:kern w:val="2"/>
          <w:sz w:val="32"/>
          <w:szCs w:val="32"/>
          <w:highlight w:val="none"/>
          <w:lang w:val="en-US" w:eastAsia="zh-CN" w:bidi="ar-SA"/>
          <w14:ligatures w14:val="standardContextual"/>
        </w:rPr>
        <w:t>8</w:t>
      </w:r>
      <w:r>
        <w:rPr>
          <w:rFonts w:hint="eastAsia" w:ascii="仿宋" w:hAnsi="仿宋" w:eastAsia="仿宋" w:cs="仿宋"/>
          <w:b/>
          <w:bCs/>
          <w:color w:val="auto"/>
          <w:kern w:val="2"/>
          <w:sz w:val="32"/>
          <w:szCs w:val="32"/>
          <w:highlight w:val="none"/>
          <w:lang w:val="zh-TW" w:eastAsia="zh-CN" w:bidi="ar-SA"/>
          <w14:ligatures w14:val="standardContextual"/>
        </w:rPr>
        <w:t>:</w:t>
      </w:r>
      <w:r>
        <w:rPr>
          <w:rFonts w:hint="eastAsia" w:ascii="仿宋" w:hAnsi="仿宋" w:eastAsia="仿宋" w:cs="仿宋"/>
          <w:b/>
          <w:bCs/>
          <w:color w:val="auto"/>
          <w:kern w:val="2"/>
          <w:sz w:val="32"/>
          <w:szCs w:val="32"/>
          <w:highlight w:val="none"/>
          <w:lang w:val="en-US" w:eastAsia="zh-CN" w:bidi="ar-SA"/>
          <w14:ligatures w14:val="standardContextual"/>
        </w:rPr>
        <w:t>0</w:t>
      </w:r>
      <w:r>
        <w:rPr>
          <w:rFonts w:hint="eastAsia" w:ascii="仿宋" w:hAnsi="仿宋" w:eastAsia="仿宋" w:cs="仿宋"/>
          <w:b/>
          <w:bCs/>
          <w:color w:val="auto"/>
          <w:kern w:val="2"/>
          <w:sz w:val="32"/>
          <w:szCs w:val="32"/>
          <w:highlight w:val="none"/>
          <w:lang w:val="zh-TW" w:eastAsia="zh-CN" w:bidi="ar-SA"/>
          <w14:ligatures w14:val="standardContextual"/>
        </w:rPr>
        <w:t>0（送达日指</w:t>
      </w:r>
      <w:r>
        <w:rPr>
          <w:rFonts w:hint="eastAsia" w:ascii="仿宋" w:hAnsi="仿宋" w:eastAsia="仿宋" w:cs="仿宋"/>
          <w:b/>
          <w:bCs/>
          <w:color w:val="auto"/>
          <w:kern w:val="2"/>
          <w:sz w:val="32"/>
          <w:szCs w:val="32"/>
          <w:highlight w:val="none"/>
          <w:lang w:val="en-US" w:eastAsia="zh-CN" w:bidi="ar-SA"/>
          <w14:ligatures w14:val="standardContextual"/>
        </w:rPr>
        <w:t>我司</w:t>
      </w:r>
      <w:r>
        <w:rPr>
          <w:rFonts w:hint="eastAsia" w:ascii="仿宋" w:hAnsi="仿宋" w:eastAsia="仿宋" w:cs="仿宋"/>
          <w:b/>
          <w:bCs/>
          <w:color w:val="auto"/>
          <w:kern w:val="2"/>
          <w:sz w:val="32"/>
          <w:szCs w:val="32"/>
          <w:highlight w:val="none"/>
          <w:lang w:val="zh-TW" w:eastAsia="zh-CN" w:bidi="ar-SA"/>
          <w14:ligatures w14:val="standardContextual"/>
        </w:rPr>
        <w:t>收到</w:t>
      </w:r>
      <w:r>
        <w:rPr>
          <w:rFonts w:hint="eastAsia" w:ascii="仿宋" w:hAnsi="仿宋" w:eastAsia="仿宋" w:cs="仿宋"/>
          <w:b/>
          <w:bCs/>
          <w:color w:val="auto"/>
          <w:kern w:val="2"/>
          <w:sz w:val="32"/>
          <w:szCs w:val="32"/>
          <w:highlight w:val="none"/>
          <w:lang w:val="en-US" w:eastAsia="zh-CN" w:bidi="ar-SA"/>
          <w14:ligatures w14:val="standardContextual"/>
        </w:rPr>
        <w:t>响应</w:t>
      </w:r>
      <w:r>
        <w:rPr>
          <w:rFonts w:hint="eastAsia" w:ascii="仿宋" w:hAnsi="仿宋" w:eastAsia="仿宋" w:cs="仿宋"/>
          <w:b/>
          <w:bCs/>
          <w:color w:val="auto"/>
          <w:kern w:val="2"/>
          <w:sz w:val="32"/>
          <w:szCs w:val="32"/>
          <w:highlight w:val="none"/>
          <w:lang w:val="zh-TW" w:eastAsia="zh-CN" w:bidi="ar-SA"/>
          <w14:ligatures w14:val="standardContextual"/>
        </w:rPr>
        <w:t>文件之日）</w:t>
      </w:r>
      <w:r>
        <w:rPr>
          <w:rFonts w:hint="eastAsia" w:ascii="仿宋" w:hAnsi="仿宋" w:eastAsia="仿宋" w:cs="仿宋"/>
          <w:color w:val="auto"/>
          <w:kern w:val="2"/>
          <w:sz w:val="32"/>
          <w:szCs w:val="32"/>
          <w:highlight w:val="none"/>
          <w:lang w:val="zh-TW" w:eastAsia="zh-CN" w:bidi="ar-SA"/>
          <w14:ligatures w14:val="standardContextual"/>
        </w:rPr>
        <w:t>。</w:t>
      </w:r>
    </w:p>
    <w:p w14:paraId="2FBC3FE9">
      <w:pPr>
        <w:pStyle w:val="23"/>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2.</w:t>
      </w:r>
      <w:r>
        <w:rPr>
          <w:rFonts w:hint="eastAsia" w:ascii="仿宋" w:hAnsi="仿宋" w:eastAsia="仿宋" w:cs="仿宋"/>
          <w:color w:val="auto"/>
          <w:kern w:val="2"/>
          <w:sz w:val="32"/>
          <w:szCs w:val="32"/>
          <w:highlight w:val="none"/>
          <w:lang w:val="zh-TW" w:eastAsia="zh-CN" w:bidi="ar-SA"/>
          <w14:ligatures w14:val="standardContextual"/>
        </w:rPr>
        <w:t>递交地点:</w:t>
      </w:r>
      <w:r>
        <w:rPr>
          <w:rFonts w:hint="eastAsia" w:ascii="仿宋" w:hAnsi="仿宋" w:eastAsia="仿宋" w:cs="仿宋"/>
          <w:b/>
          <w:bCs/>
          <w:color w:val="auto"/>
          <w:kern w:val="2"/>
          <w:sz w:val="32"/>
          <w:szCs w:val="32"/>
          <w:highlight w:val="none"/>
          <w:lang w:val="en-US" w:eastAsia="zh-CN" w:bidi="ar-SA"/>
          <w14:ligatures w14:val="standardContextual"/>
        </w:rPr>
        <w:t>海南省海口市龙华区滨海大道105号百方广场A座16楼</w:t>
      </w:r>
      <w:r>
        <w:rPr>
          <w:rFonts w:hint="eastAsia" w:ascii="仿宋" w:hAnsi="仿宋" w:eastAsia="仿宋" w:cs="仿宋"/>
          <w:color w:val="auto"/>
          <w:kern w:val="2"/>
          <w:sz w:val="32"/>
          <w:szCs w:val="32"/>
          <w:highlight w:val="none"/>
          <w:lang w:val="zh-TW" w:eastAsia="zh-CN" w:bidi="ar-SA"/>
          <w14:ligatures w14:val="standardContextual"/>
        </w:rPr>
        <w:t>。</w:t>
      </w:r>
      <w:bookmarkStart w:id="54" w:name="_GoBack"/>
      <w:bookmarkEnd w:id="54"/>
    </w:p>
    <w:p w14:paraId="0D8EA4CE">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3.响应文件要求纸质版，</w:t>
      </w:r>
      <w:r>
        <w:rPr>
          <w:rFonts w:hint="eastAsia" w:ascii="Times New Roman" w:hAnsi="Times New Roman" w:eastAsia="仿宋_GB2312" w:cs="Times New Roman"/>
          <w:i w:val="0"/>
          <w:iCs w:val="0"/>
          <w:caps w:val="0"/>
          <w:color w:val="auto"/>
          <w:spacing w:val="0"/>
          <w:kern w:val="0"/>
          <w:sz w:val="32"/>
          <w:szCs w:val="32"/>
          <w:shd w:val="clear" w:color="auto" w:fill="auto"/>
          <w:vertAlign w:val="baseline"/>
          <w:lang w:val="en-US" w:eastAsia="zh-CN" w:bidi="ar-SA"/>
        </w:rPr>
        <w:t>以当面、邮寄等方式递交，</w:t>
      </w:r>
      <w:r>
        <w:rPr>
          <w:rFonts w:hint="eastAsia" w:ascii="仿宋" w:hAnsi="仿宋" w:eastAsia="仿宋" w:cs="仿宋"/>
          <w:color w:val="auto"/>
          <w:sz w:val="32"/>
          <w:szCs w:val="32"/>
          <w:highlight w:val="none"/>
        </w:rPr>
        <w:t>概不接受通过电报、电话、传真和</w:t>
      </w:r>
      <w:r>
        <w:rPr>
          <w:rFonts w:hint="eastAsia" w:ascii="仿宋" w:hAnsi="仿宋" w:eastAsia="仿宋" w:cs="仿宋"/>
          <w:color w:val="auto"/>
          <w:sz w:val="32"/>
          <w:szCs w:val="32"/>
          <w:highlight w:val="none"/>
          <w:lang w:val="en-US" w:eastAsia="zh-CN"/>
        </w:rPr>
        <w:t>电子</w:t>
      </w:r>
      <w:r>
        <w:rPr>
          <w:rFonts w:hint="eastAsia" w:ascii="仿宋" w:hAnsi="仿宋" w:eastAsia="仿宋" w:cs="仿宋"/>
          <w:color w:val="auto"/>
          <w:sz w:val="32"/>
          <w:szCs w:val="32"/>
          <w:highlight w:val="none"/>
        </w:rPr>
        <w:t>邮件方式传递的比选文件。</w:t>
      </w:r>
    </w:p>
    <w:p w14:paraId="15283861">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4.</w:t>
      </w:r>
      <w:r>
        <w:rPr>
          <w:rFonts w:hint="eastAsia" w:ascii="仿宋" w:hAnsi="仿宋" w:eastAsia="仿宋" w:cs="仿宋"/>
          <w:color w:val="auto"/>
          <w:kern w:val="2"/>
          <w:sz w:val="32"/>
          <w:szCs w:val="32"/>
          <w:highlight w:val="none"/>
          <w:lang w:val="zh-TW" w:eastAsia="zh-CN" w:bidi="ar-SA"/>
          <w14:ligatures w14:val="standardContextual"/>
        </w:rPr>
        <w:t>逾期送达的或者未送达指定地点的</w:t>
      </w:r>
      <w:r>
        <w:rPr>
          <w:rFonts w:hint="eastAsia" w:ascii="仿宋" w:hAnsi="仿宋" w:eastAsia="仿宋" w:cs="仿宋"/>
          <w:color w:val="auto"/>
          <w:kern w:val="2"/>
          <w:sz w:val="32"/>
          <w:szCs w:val="32"/>
          <w:highlight w:val="none"/>
          <w:lang w:val="en-US" w:eastAsia="zh-CN" w:bidi="ar-SA"/>
          <w14:ligatures w14:val="standardContextual"/>
        </w:rPr>
        <w:t>响应</w:t>
      </w:r>
      <w:r>
        <w:rPr>
          <w:rFonts w:hint="eastAsia" w:ascii="仿宋" w:hAnsi="仿宋" w:eastAsia="仿宋" w:cs="仿宋"/>
          <w:color w:val="auto"/>
          <w:kern w:val="2"/>
          <w:sz w:val="32"/>
          <w:szCs w:val="32"/>
          <w:highlight w:val="none"/>
          <w:lang w:val="zh-TW" w:eastAsia="zh-CN" w:bidi="ar-SA"/>
          <w14:ligatures w14:val="standardContextual"/>
        </w:rPr>
        <w:t>文件,比选人不予受理。</w:t>
      </w:r>
    </w:p>
    <w:bookmarkEnd w:id="22"/>
    <w:p w14:paraId="67494063">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6" w:name="_Toc8283"/>
      <w:r>
        <w:rPr>
          <w:rFonts w:hint="eastAsia" w:ascii="仿宋" w:hAnsi="仿宋" w:eastAsia="仿宋" w:cs="仿宋"/>
          <w:b/>
          <w:bCs/>
          <w:color w:val="auto"/>
          <w:sz w:val="32"/>
          <w:szCs w:val="32"/>
          <w:highlight w:val="none"/>
          <w:lang w:val="en-US" w:eastAsia="zh-CN"/>
        </w:rPr>
        <w:t>五、联系方式</w:t>
      </w:r>
      <w:bookmarkEnd w:id="26"/>
    </w:p>
    <w:p w14:paraId="6E9C6E1F">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比 选 人：海南省财金集团有限公司</w:t>
      </w:r>
    </w:p>
    <w:p w14:paraId="1A9B5F77">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地    址：海口龙华区滨海大道105号百方广场A座16楼</w:t>
      </w:r>
    </w:p>
    <w:p w14:paraId="48D16DB2">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 系 人：张女士</w:t>
      </w:r>
    </w:p>
    <w:p w14:paraId="1414A196">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联系电话：18976672299</w:t>
      </w:r>
    </w:p>
    <w:p w14:paraId="5D553DCE">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邮    箱：zhangshuwen@hncjjt.com.cn</w:t>
      </w:r>
    </w:p>
    <w:p w14:paraId="398B8706">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615E8DD4">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0CC84E36">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442BA639">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78CAA390">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0A6E96AE">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0C39F9A5">
      <w:pPr>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br w:type="page"/>
      </w:r>
    </w:p>
    <w:p w14:paraId="248B98CE">
      <w:pPr>
        <w:numPr>
          <w:ilvl w:val="0"/>
          <w:numId w:val="2"/>
        </w:numPr>
        <w:spacing w:line="578" w:lineRule="exact"/>
        <w:ind w:firstLine="0"/>
        <w:jc w:val="center"/>
        <w:outlineLvl w:val="0"/>
        <w:rPr>
          <w:rFonts w:ascii="黑体" w:hAnsi="黑体" w:eastAsia="黑体" w:cs="黑体"/>
          <w:color w:val="auto"/>
          <w:sz w:val="36"/>
          <w:szCs w:val="36"/>
          <w:highlight w:val="none"/>
        </w:rPr>
      </w:pPr>
      <w:bookmarkStart w:id="27" w:name="_Toc19812"/>
      <w:r>
        <w:rPr>
          <w:rFonts w:hint="eastAsia" w:ascii="黑体" w:hAnsi="黑体" w:eastAsia="黑体" w:cs="黑体"/>
          <w:color w:val="auto"/>
          <w:sz w:val="36"/>
          <w:szCs w:val="36"/>
          <w:highlight w:val="none"/>
          <w:lang w:val="en-US" w:eastAsia="zh-CN"/>
        </w:rPr>
        <w:t>响应</w:t>
      </w:r>
      <w:r>
        <w:rPr>
          <w:rFonts w:hint="eastAsia" w:ascii="黑体" w:hAnsi="黑体" w:eastAsia="黑体" w:cs="黑体"/>
          <w:color w:val="auto"/>
          <w:sz w:val="36"/>
          <w:szCs w:val="36"/>
          <w:highlight w:val="none"/>
        </w:rPr>
        <w:t>文件</w:t>
      </w:r>
      <w:r>
        <w:rPr>
          <w:rFonts w:hint="eastAsia" w:ascii="黑体" w:hAnsi="黑体" w:eastAsia="黑体" w:cs="黑体"/>
          <w:color w:val="auto"/>
          <w:sz w:val="36"/>
          <w:szCs w:val="36"/>
          <w:highlight w:val="none"/>
          <w:lang w:val="en-US" w:eastAsia="zh-CN"/>
        </w:rPr>
        <w:t>要求</w:t>
      </w:r>
      <w:bookmarkEnd w:id="27"/>
    </w:p>
    <w:p w14:paraId="7CF4547C">
      <w:pPr>
        <w:spacing w:line="578" w:lineRule="exact"/>
        <w:ind w:firstLine="640" w:firstLineChars="200"/>
        <w:rPr>
          <w:rFonts w:hint="eastAsia" w:ascii="仿宋" w:hAnsi="仿宋" w:eastAsia="仿宋" w:cs="仿宋_GB2312"/>
          <w:color w:val="auto"/>
          <w:sz w:val="32"/>
          <w:szCs w:val="32"/>
          <w:highlight w:val="none"/>
        </w:rPr>
      </w:pPr>
    </w:p>
    <w:p w14:paraId="05FFB9CF">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8" w:name="_Toc3078"/>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w:t>
      </w:r>
      <w:r>
        <w:rPr>
          <w:rFonts w:hint="eastAsia" w:ascii="仿宋" w:hAnsi="仿宋" w:eastAsia="仿宋" w:cs="黑体"/>
          <w:bCs/>
          <w:color w:val="auto"/>
          <w:sz w:val="32"/>
          <w:szCs w:val="32"/>
          <w:highlight w:val="none"/>
          <w:lang w:val="en-US" w:eastAsia="zh-CN"/>
        </w:rPr>
        <w:t>组成</w:t>
      </w:r>
      <w:bookmarkEnd w:id="28"/>
    </w:p>
    <w:p w14:paraId="08DC4E00">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应包括以下内容</w:t>
      </w:r>
      <w:r>
        <w:rPr>
          <w:rFonts w:hint="eastAsia" w:ascii="仿宋" w:hAnsi="仿宋" w:eastAsia="仿宋" w:cs="仿宋_GB2312"/>
          <w:color w:val="auto"/>
          <w:sz w:val="32"/>
          <w:szCs w:val="32"/>
          <w:highlight w:val="none"/>
        </w:rPr>
        <w:t>：</w:t>
      </w:r>
    </w:p>
    <w:p w14:paraId="15A3136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封面</w:t>
      </w:r>
    </w:p>
    <w:p w14:paraId="5DC5D64D">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目录</w:t>
      </w:r>
    </w:p>
    <w:p w14:paraId="6CA9FA45">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文件声明函（按附件</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样式）</w:t>
      </w:r>
    </w:p>
    <w:p w14:paraId="1006CC5E">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机构简介</w:t>
      </w:r>
    </w:p>
    <w:p w14:paraId="281D51FB">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资格审查材料</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按第三章评议办法第二条第（一）款《资格审查表》的要求准备</w:t>
      </w:r>
      <w:r>
        <w:rPr>
          <w:rFonts w:hint="eastAsia" w:ascii="仿宋" w:hAnsi="仿宋" w:eastAsia="仿宋" w:cs="仿宋_GB2312"/>
          <w:color w:val="auto"/>
          <w:sz w:val="32"/>
          <w:szCs w:val="32"/>
          <w:highlight w:val="none"/>
          <w:lang w:eastAsia="zh-CN"/>
        </w:rPr>
        <w:t>）</w:t>
      </w:r>
    </w:p>
    <w:p w14:paraId="20B35EEA">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法定代表人身份证明或附有法定代表人身份证明的授权委托书</w:t>
      </w:r>
    </w:p>
    <w:p w14:paraId="445B1631">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近3年（自2022年9月1日起至本项目响应文件提交截止之日止）中国人民银行、中国证监会、证券业协会、交易商协会、发改委等监管机构及自律组织</w:t>
      </w:r>
      <w:r>
        <w:rPr>
          <w:rFonts w:hint="eastAsia" w:ascii="仿宋" w:hAnsi="仿宋" w:eastAsia="仿宋" w:cs="仿宋_GB2312"/>
          <w:color w:val="auto"/>
          <w:sz w:val="32"/>
          <w:szCs w:val="32"/>
          <w:highlight w:val="none"/>
          <w:lang w:val="en-US" w:eastAsia="zh-CN"/>
        </w:rPr>
        <w:t>发布</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监管</w:t>
      </w:r>
      <w:r>
        <w:rPr>
          <w:rFonts w:hint="eastAsia" w:ascii="仿宋" w:hAnsi="仿宋" w:eastAsia="仿宋" w:cs="仿宋_GB2312"/>
          <w:color w:val="auto"/>
          <w:sz w:val="32"/>
          <w:szCs w:val="32"/>
          <w:highlight w:val="none"/>
        </w:rPr>
        <w:t>处罚情况说明（监管处罚</w:t>
      </w:r>
      <w:r>
        <w:rPr>
          <w:rFonts w:hint="eastAsia" w:ascii="仿宋" w:hAnsi="仿宋" w:eastAsia="仿宋" w:cs="仿宋_GB2312"/>
          <w:color w:val="auto"/>
          <w:sz w:val="32"/>
          <w:szCs w:val="32"/>
          <w:highlight w:val="none"/>
          <w:lang w:val="en-US" w:eastAsia="zh-CN"/>
        </w:rPr>
        <w:t>包括</w:t>
      </w:r>
      <w:r>
        <w:rPr>
          <w:rFonts w:hint="eastAsia" w:ascii="仿宋" w:hAnsi="仿宋" w:eastAsia="仿宋" w:cs="仿宋_GB2312"/>
          <w:color w:val="auto"/>
          <w:sz w:val="32"/>
          <w:szCs w:val="32"/>
          <w:highlight w:val="none"/>
        </w:rPr>
        <w:t>行政处罚、行政监管措施、自律监管措施等</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按监管文号分别披露；</w:t>
      </w:r>
      <w:r>
        <w:rPr>
          <w:rFonts w:hint="eastAsia" w:ascii="仿宋" w:hAnsi="仿宋" w:eastAsia="仿宋" w:cs="仿宋_GB2312"/>
          <w:color w:val="auto"/>
          <w:sz w:val="32"/>
          <w:szCs w:val="32"/>
          <w:highlight w:val="none"/>
        </w:rPr>
        <w:t>加盖公章，</w:t>
      </w:r>
      <w:r>
        <w:rPr>
          <w:rFonts w:hint="eastAsia" w:ascii="仿宋" w:hAnsi="仿宋" w:eastAsia="仿宋" w:cs="仿宋_GB2312"/>
          <w:color w:val="auto"/>
          <w:sz w:val="32"/>
          <w:szCs w:val="32"/>
          <w:highlight w:val="none"/>
          <w:lang w:val="en-US" w:eastAsia="zh-CN"/>
        </w:rPr>
        <w:t>法定代表人或授权委托人</w:t>
      </w:r>
      <w:r>
        <w:rPr>
          <w:rFonts w:hint="eastAsia" w:ascii="仿宋" w:hAnsi="仿宋" w:eastAsia="仿宋" w:cs="仿宋_GB2312"/>
          <w:color w:val="auto"/>
          <w:sz w:val="32"/>
          <w:szCs w:val="32"/>
          <w:highlight w:val="none"/>
        </w:rPr>
        <w:t>签章）</w:t>
      </w:r>
    </w:p>
    <w:p w14:paraId="01A934B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服务方案</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内容</w:t>
      </w:r>
      <w:r>
        <w:rPr>
          <w:rFonts w:hint="eastAsia" w:ascii="仿宋" w:hAnsi="仿宋" w:eastAsia="仿宋" w:cs="仿宋_GB2312"/>
          <w:color w:val="auto"/>
          <w:sz w:val="32"/>
          <w:szCs w:val="32"/>
          <w:highlight w:val="none"/>
        </w:rPr>
        <w:t>应涵盖基础服务、增值服务和团队配置等内容。其中：</w:t>
      </w:r>
      <w:r>
        <w:rPr>
          <w:rFonts w:hint="eastAsia" w:ascii="仿宋" w:hAnsi="仿宋" w:eastAsia="仿宋" w:cs="仿宋_GB2312"/>
          <w:b/>
          <w:bCs/>
          <w:color w:val="auto"/>
          <w:sz w:val="32"/>
          <w:szCs w:val="32"/>
          <w:highlight w:val="none"/>
        </w:rPr>
        <w:t>基础服务</w:t>
      </w:r>
      <w:r>
        <w:rPr>
          <w:rFonts w:hint="eastAsia" w:ascii="仿宋" w:hAnsi="仿宋" w:eastAsia="仿宋" w:cs="仿宋_GB2312"/>
          <w:color w:val="auto"/>
          <w:sz w:val="32"/>
          <w:szCs w:val="32"/>
          <w:highlight w:val="none"/>
        </w:rPr>
        <w:t>应针对金控行业特性，包括流程设计、跟踪安排、质量控制、沟通机制、团队配置、风险预案及绿色通道安排等方面内容，并对项目实施过程中的难点问题进行分析与提出应对措施；</w:t>
      </w:r>
      <w:r>
        <w:rPr>
          <w:rFonts w:hint="eastAsia" w:ascii="仿宋" w:hAnsi="仿宋" w:eastAsia="仿宋" w:cs="仿宋_GB2312"/>
          <w:b/>
          <w:bCs/>
          <w:color w:val="auto"/>
          <w:sz w:val="32"/>
          <w:szCs w:val="32"/>
          <w:highlight w:val="none"/>
        </w:rPr>
        <w:t>增值服务</w:t>
      </w:r>
      <w:r>
        <w:rPr>
          <w:rFonts w:hint="eastAsia" w:ascii="仿宋" w:hAnsi="仿宋" w:eastAsia="仿宋" w:cs="仿宋_GB2312"/>
          <w:color w:val="auto"/>
          <w:sz w:val="32"/>
          <w:szCs w:val="32"/>
          <w:highlight w:val="none"/>
        </w:rPr>
        <w:t>包括但不限于战略性同业交流与市场洞察、定制化能力提升培训、持续性评级咨询与顾问服务等；</w:t>
      </w:r>
      <w:r>
        <w:rPr>
          <w:rFonts w:hint="eastAsia" w:ascii="仿宋" w:hAnsi="仿宋" w:eastAsia="仿宋" w:cs="仿宋_GB2312"/>
          <w:b/>
          <w:bCs/>
          <w:color w:val="auto"/>
          <w:sz w:val="32"/>
          <w:szCs w:val="32"/>
          <w:highlight w:val="none"/>
        </w:rPr>
        <w:t>团队配置</w:t>
      </w:r>
      <w:r>
        <w:rPr>
          <w:rFonts w:hint="eastAsia" w:ascii="仿宋" w:hAnsi="仿宋" w:eastAsia="仿宋" w:cs="仿宋_GB2312"/>
          <w:color w:val="auto"/>
          <w:sz w:val="32"/>
          <w:szCs w:val="32"/>
          <w:highlight w:val="none"/>
        </w:rPr>
        <w:t>包括项目负责人</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评级工作业绩、</w:t>
      </w:r>
      <w:r>
        <w:rPr>
          <w:rFonts w:hint="eastAsia" w:ascii="仿宋" w:hAnsi="仿宋" w:eastAsia="仿宋" w:cs="仿宋_GB2312"/>
          <w:color w:val="auto"/>
          <w:sz w:val="32"/>
          <w:szCs w:val="32"/>
          <w:highlight w:val="none"/>
          <w:lang w:val="en-US" w:eastAsia="zh-CN"/>
        </w:rPr>
        <w:t>评级</w:t>
      </w:r>
      <w:r>
        <w:rPr>
          <w:rFonts w:hint="eastAsia" w:ascii="仿宋" w:hAnsi="仿宋" w:eastAsia="仿宋" w:cs="仿宋_GB2312"/>
          <w:color w:val="auto"/>
          <w:sz w:val="32"/>
          <w:szCs w:val="32"/>
          <w:highlight w:val="none"/>
        </w:rPr>
        <w:t>案例情况</w:t>
      </w:r>
      <w:r>
        <w:rPr>
          <w:rFonts w:hint="eastAsia" w:ascii="仿宋" w:hAnsi="仿宋" w:eastAsia="仿宋" w:cs="仿宋_GB2312"/>
          <w:color w:val="auto"/>
          <w:sz w:val="32"/>
          <w:szCs w:val="32"/>
          <w:highlight w:val="none"/>
          <w:lang w:eastAsia="zh-CN"/>
        </w:rPr>
        <w:t>【包括</w:t>
      </w:r>
      <w:r>
        <w:rPr>
          <w:rFonts w:hint="eastAsia" w:ascii="仿宋" w:hAnsi="仿宋" w:eastAsia="仿宋" w:cs="仿宋_GB2312"/>
          <w:color w:val="auto"/>
          <w:sz w:val="32"/>
          <w:szCs w:val="32"/>
          <w:highlight w:val="none"/>
          <w:lang w:val="en-US" w:eastAsia="zh-CN"/>
        </w:rPr>
        <w:t>项目</w:t>
      </w:r>
      <w:r>
        <w:rPr>
          <w:rFonts w:hint="eastAsia" w:ascii="仿宋" w:hAnsi="仿宋" w:eastAsia="仿宋" w:cs="仿宋_GB2312"/>
          <w:color w:val="auto"/>
          <w:sz w:val="32"/>
          <w:szCs w:val="32"/>
          <w:highlight w:val="none"/>
          <w:lang w:eastAsia="zh-CN"/>
        </w:rPr>
        <w:t>时间、项目名称和担任的角色】</w:t>
      </w:r>
      <w:r>
        <w:rPr>
          <w:rFonts w:hint="eastAsia" w:ascii="仿宋" w:hAnsi="仿宋" w:eastAsia="仿宋" w:cs="仿宋_GB2312"/>
          <w:color w:val="auto"/>
          <w:sz w:val="32"/>
          <w:szCs w:val="32"/>
          <w:highlight w:val="none"/>
        </w:rPr>
        <w:t>，以及派驻现场服务团队人数和人员构成情况。</w:t>
      </w:r>
      <w:r>
        <w:rPr>
          <w:rFonts w:hint="eastAsia" w:ascii="仿宋" w:hAnsi="仿宋" w:eastAsia="仿宋" w:cs="仿宋_GB2312"/>
          <w:color w:val="auto"/>
          <w:sz w:val="32"/>
          <w:szCs w:val="32"/>
          <w:highlight w:val="none"/>
          <w:lang w:val="en-US" w:eastAsia="zh-CN"/>
        </w:rPr>
        <w:t>）</w:t>
      </w:r>
    </w:p>
    <w:p w14:paraId="6A39956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报价单（按附件</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样式）</w:t>
      </w:r>
    </w:p>
    <w:p w14:paraId="7B1FD376">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bookmarkStart w:id="29" w:name="_Toc81784940"/>
      <w:r>
        <w:rPr>
          <w:rFonts w:hint="eastAsia" w:ascii="仿宋" w:hAnsi="仿宋" w:eastAsia="仿宋" w:cs="仿宋_GB2312"/>
          <w:color w:val="auto"/>
          <w:sz w:val="32"/>
          <w:szCs w:val="32"/>
          <w:highlight w:val="none"/>
        </w:rPr>
        <w:t>廉洁承诺书</w:t>
      </w:r>
      <w:bookmarkEnd w:id="29"/>
      <w:r>
        <w:rPr>
          <w:rFonts w:hint="eastAsia" w:ascii="仿宋" w:hAnsi="仿宋" w:eastAsia="仿宋" w:cs="仿宋_GB2312"/>
          <w:color w:val="auto"/>
          <w:sz w:val="32"/>
          <w:szCs w:val="32"/>
          <w:highlight w:val="none"/>
        </w:rPr>
        <w:t>（按附件</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样式）</w:t>
      </w:r>
    </w:p>
    <w:p w14:paraId="3C6F3A8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无重大违法记录声明函（按附件</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样式）</w:t>
      </w:r>
    </w:p>
    <w:p w14:paraId="13D5BDA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比选</w:t>
      </w:r>
      <w:r>
        <w:rPr>
          <w:rFonts w:hint="eastAsia" w:ascii="仿宋" w:hAnsi="仿宋" w:eastAsia="仿宋" w:cs="仿宋_GB2312"/>
          <w:color w:val="auto"/>
          <w:sz w:val="32"/>
          <w:szCs w:val="32"/>
          <w:highlight w:val="none"/>
          <w:lang w:val="en-US" w:eastAsia="zh-CN"/>
        </w:rPr>
        <w:t>文件规定</w:t>
      </w:r>
      <w:r>
        <w:rPr>
          <w:rFonts w:hint="eastAsia" w:ascii="仿宋" w:hAnsi="仿宋" w:eastAsia="仿宋" w:cs="仿宋_GB2312"/>
          <w:color w:val="auto"/>
          <w:sz w:val="32"/>
          <w:szCs w:val="32"/>
          <w:highlight w:val="none"/>
        </w:rPr>
        <w:t>的其他资料</w:t>
      </w:r>
    </w:p>
    <w:p w14:paraId="3106A2F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注：编制响应文件时不得对比选文件的附件1-4的相应要素作实质性修改。</w:t>
      </w:r>
    </w:p>
    <w:p w14:paraId="73FAE009">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4C4651C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0" w:name="_Toc26112"/>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文件样式</w:t>
      </w:r>
      <w:bookmarkEnd w:id="30"/>
    </w:p>
    <w:p w14:paraId="766C53DF">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文件封面的右上角清楚地注明“正本”或“副本”。正本和副本如有不一致之处，以正本为准。</w:t>
      </w:r>
    </w:p>
    <w:p w14:paraId="78EEA749">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1" w:name="_Toc25124"/>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份数</w:t>
      </w:r>
      <w:bookmarkEnd w:id="31"/>
    </w:p>
    <w:p w14:paraId="24BE444B">
      <w:p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应准备正本</w:t>
      </w:r>
      <w:r>
        <w:rPr>
          <w:rFonts w:hint="eastAsia" w:ascii="仿宋" w:hAnsi="仿宋" w:eastAsia="仿宋" w:cs="仿宋_GB2312"/>
          <w:color w:val="auto"/>
          <w:sz w:val="32"/>
          <w:szCs w:val="32"/>
          <w:highlight w:val="none"/>
          <w:lang w:val="en-US" w:eastAsia="zh-CN"/>
        </w:rPr>
        <w:t>壹</w:t>
      </w:r>
      <w:r>
        <w:rPr>
          <w:rFonts w:hint="eastAsia" w:ascii="仿宋" w:hAnsi="仿宋" w:eastAsia="仿宋" w:cs="仿宋_GB2312"/>
          <w:color w:val="auto"/>
          <w:sz w:val="32"/>
          <w:szCs w:val="32"/>
          <w:highlight w:val="none"/>
        </w:rPr>
        <w:t>份，副本</w:t>
      </w:r>
      <w:r>
        <w:rPr>
          <w:rFonts w:hint="eastAsia" w:ascii="仿宋" w:hAnsi="仿宋" w:eastAsia="仿宋" w:cs="仿宋_GB2312"/>
          <w:color w:val="auto"/>
          <w:sz w:val="32"/>
          <w:szCs w:val="32"/>
          <w:highlight w:val="none"/>
          <w:lang w:val="en-US" w:eastAsia="zh-CN"/>
        </w:rPr>
        <w:t>陆</w:t>
      </w:r>
      <w:r>
        <w:rPr>
          <w:rFonts w:hint="eastAsia" w:ascii="仿宋" w:hAnsi="仿宋" w:eastAsia="仿宋" w:cs="仿宋_GB2312"/>
          <w:color w:val="auto"/>
          <w:sz w:val="32"/>
          <w:szCs w:val="32"/>
          <w:highlight w:val="none"/>
        </w:rPr>
        <w:t>份。副本可为正本的复印件。</w:t>
      </w:r>
    </w:p>
    <w:p w14:paraId="762ED5E4">
      <w:pPr>
        <w:spacing w:line="578" w:lineRule="exact"/>
        <w:ind w:firstLine="640" w:firstLineChars="200"/>
        <w:rPr>
          <w:rFonts w:ascii="仿宋" w:hAnsi="仿宋" w:eastAsia="仿宋" w:cs="仿宋_GB2312"/>
          <w:b w:val="0"/>
          <w:bCs w:val="0"/>
          <w:color w:val="auto"/>
          <w:sz w:val="32"/>
          <w:szCs w:val="32"/>
          <w:highlight w:val="none"/>
        </w:rPr>
      </w:pPr>
      <w:r>
        <w:rPr>
          <w:rFonts w:hint="eastAsia" w:ascii="仿宋" w:hAnsi="仿宋" w:eastAsia="仿宋" w:cs="仿宋_GB2312"/>
          <w:b w:val="0"/>
          <w:bCs w:val="0"/>
          <w:color w:val="auto"/>
          <w:sz w:val="32"/>
          <w:szCs w:val="32"/>
          <w:highlight w:val="none"/>
          <w:lang w:eastAsia="zh-CN"/>
        </w:rPr>
        <w:t>响应文件</w:t>
      </w:r>
      <w:r>
        <w:rPr>
          <w:rFonts w:hint="eastAsia" w:ascii="仿宋" w:hAnsi="仿宋" w:eastAsia="仿宋" w:cs="仿宋_GB2312"/>
          <w:b w:val="0"/>
          <w:bCs w:val="0"/>
          <w:color w:val="auto"/>
          <w:sz w:val="32"/>
          <w:szCs w:val="32"/>
          <w:highlight w:val="none"/>
        </w:rPr>
        <w:t>数量不符合要求的，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79F35E53">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r>
        <w:rPr>
          <w:rFonts w:hint="eastAsia" w:ascii="仿宋" w:hAnsi="仿宋" w:eastAsia="仿宋" w:cs="黑体"/>
          <w:bCs/>
          <w:color w:val="auto"/>
          <w:sz w:val="32"/>
          <w:szCs w:val="32"/>
          <w:highlight w:val="none"/>
          <w:lang w:val="en-US"/>
        </w:rPr>
        <w:t xml:space="preserve"> </w:t>
      </w:r>
      <w:bookmarkStart w:id="32" w:name="_Toc11376"/>
      <w:r>
        <w:rPr>
          <w:rFonts w:hint="eastAsia" w:ascii="仿宋" w:hAnsi="仿宋" w:eastAsia="仿宋" w:cs="黑体"/>
          <w:bCs/>
          <w:color w:val="auto"/>
          <w:sz w:val="32"/>
          <w:szCs w:val="32"/>
          <w:highlight w:val="none"/>
          <w:lang w:val="en-US" w:eastAsia="zh-CN"/>
        </w:rPr>
        <w:t>响应文件签章、密封与标志要求</w:t>
      </w:r>
      <w:bookmarkEnd w:id="32"/>
    </w:p>
    <w:p w14:paraId="3108D326">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签名盖章要求</w:t>
      </w:r>
    </w:p>
    <w:p w14:paraId="4C6A31E3">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（正本）</w:t>
      </w:r>
      <w:r>
        <w:rPr>
          <w:rFonts w:hint="eastAsia" w:ascii="仿宋" w:hAnsi="仿宋" w:eastAsia="仿宋" w:cs="仿宋_GB2312"/>
          <w:b/>
          <w:bCs/>
          <w:color w:val="auto"/>
          <w:sz w:val="32"/>
          <w:szCs w:val="32"/>
          <w:highlight w:val="none"/>
        </w:rPr>
        <w:t>封面、骑缝</w:t>
      </w:r>
      <w:r>
        <w:rPr>
          <w:rFonts w:hint="eastAsia" w:ascii="仿宋" w:hAnsi="仿宋" w:eastAsia="仿宋" w:cs="仿宋_GB2312"/>
          <w:color w:val="auto"/>
          <w:sz w:val="32"/>
          <w:szCs w:val="32"/>
          <w:highlight w:val="none"/>
        </w:rPr>
        <w:t>需加盖</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人公章。</w:t>
      </w:r>
    </w:p>
    <w:p w14:paraId="16D0AE0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应用不褪色的材料书写或打印，并由响应人的法定代表人或其委托代理人在比选文件规定的位置按比选文件要求签名或盖章、盖单位法人章。委托代理人签名的，响应文件应附法定代表人签署的授权委托书。</w:t>
      </w:r>
    </w:p>
    <w:p w14:paraId="6DE0FE4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3.响应文件应尽量避免涂改、行间插字或删除。如果出现上述情况，改动之处应加盖响应人的法定代表人名章或由响应人的法定代表人或其授权的代理人签名确认。</w:t>
      </w:r>
    </w:p>
    <w:p w14:paraId="78DAF2C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1F2B734C">
      <w:pPr>
        <w:numPr>
          <w:ilvl w:val="0"/>
          <w:numId w:val="5"/>
        </w:numPr>
        <w:spacing w:line="578" w:lineRule="exact"/>
        <w:ind w:left="0" w:leftChars="0" w:firstLine="420" w:firstLineChars="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装订要求</w:t>
      </w:r>
    </w:p>
    <w:p w14:paraId="1468A2E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应使</w:t>
      </w:r>
      <w:r>
        <w:rPr>
          <w:rFonts w:hint="eastAsia" w:ascii="仿宋" w:hAnsi="仿宋" w:eastAsia="仿宋" w:cs="仿宋_GB2312"/>
          <w:color w:val="auto"/>
          <w:sz w:val="32"/>
          <w:szCs w:val="32"/>
          <w:highlight w:val="none"/>
        </w:rPr>
        <w:t>用A4纸</w:t>
      </w:r>
      <w:r>
        <w:rPr>
          <w:rFonts w:hint="eastAsia" w:ascii="仿宋" w:hAnsi="仿宋" w:eastAsia="仿宋" w:cs="仿宋_GB2312"/>
          <w:color w:val="auto"/>
          <w:sz w:val="32"/>
          <w:szCs w:val="32"/>
          <w:highlight w:val="none"/>
          <w:lang w:val="en-US" w:eastAsia="zh-CN"/>
        </w:rPr>
        <w:t>且用不褪色的材料书写或打印，必须装订</w:t>
      </w:r>
      <w:r>
        <w:rPr>
          <w:rFonts w:hint="eastAsia" w:ascii="仿宋" w:hAnsi="仿宋" w:eastAsia="仿宋" w:cs="仿宋_GB2312"/>
          <w:color w:val="auto"/>
          <w:sz w:val="32"/>
          <w:szCs w:val="32"/>
          <w:highlight w:val="none"/>
        </w:rPr>
        <w:t>成册</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标注页码。</w:t>
      </w:r>
    </w:p>
    <w:p w14:paraId="74FADD0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4DA7B646">
      <w:pPr>
        <w:numPr>
          <w:ilvl w:val="0"/>
          <w:numId w:val="5"/>
        </w:numPr>
        <w:spacing w:line="578" w:lineRule="exact"/>
        <w:ind w:left="0" w:leftChars="0" w:firstLine="420" w:firstLineChars="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密封要求</w:t>
      </w:r>
    </w:p>
    <w:p w14:paraId="64A10898">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所有响应文件必须封入密封完好的信封或包装，</w:t>
      </w:r>
      <w:r>
        <w:rPr>
          <w:rFonts w:hint="eastAsia" w:ascii="仿宋" w:hAnsi="仿宋" w:eastAsia="仿宋" w:cs="仿宋_GB2312"/>
          <w:color w:val="auto"/>
          <w:sz w:val="32"/>
          <w:szCs w:val="32"/>
          <w:highlight w:val="none"/>
        </w:rPr>
        <w:t>并在封口处加盖响应人公章</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人应确保</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外包装材料不留有可在包封后添加或抽取</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的空隙。</w:t>
      </w:r>
    </w:p>
    <w:p w14:paraId="1EEA52A6">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0AA49372">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包装封面要求</w:t>
      </w:r>
    </w:p>
    <w:p w14:paraId="5E4BED95">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人应在文件包装</w:t>
      </w:r>
      <w:r>
        <w:rPr>
          <w:rFonts w:hint="eastAsia" w:ascii="仿宋" w:hAnsi="仿宋" w:eastAsia="仿宋" w:cs="仿宋_GB2312"/>
          <w:color w:val="auto"/>
          <w:sz w:val="32"/>
          <w:szCs w:val="32"/>
          <w:highlight w:val="none"/>
          <w:lang w:val="en-US" w:eastAsia="zh-CN"/>
        </w:rPr>
        <w:t>的封面上注明</w:t>
      </w:r>
      <w:r>
        <w:rPr>
          <w:rFonts w:hint="eastAsia" w:ascii="仿宋" w:hAnsi="仿宋" w:eastAsia="仿宋" w:cs="仿宋_GB2312"/>
          <w:color w:val="auto"/>
          <w:sz w:val="32"/>
          <w:szCs w:val="32"/>
          <w:highlight w:val="none"/>
        </w:rPr>
        <w:t>以下信息：</w:t>
      </w:r>
    </w:p>
    <w:tbl>
      <w:tblPr>
        <w:tblStyle w:val="15"/>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98"/>
      </w:tblGrid>
      <w:tr w14:paraId="7F078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98" w:type="dxa"/>
            <w:tcBorders>
              <w:top w:val="single" w:color="auto" w:sz="4" w:space="0"/>
              <w:left w:val="single" w:color="auto" w:sz="4" w:space="0"/>
              <w:bottom w:val="single" w:color="auto" w:sz="4" w:space="0"/>
              <w:right w:val="single" w:color="auto" w:sz="4" w:space="0"/>
            </w:tcBorders>
          </w:tcPr>
          <w:p w14:paraId="70F32F04">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p>
          <w:p w14:paraId="06C21B22">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比选人名称：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C187A57">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3306FEE8">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响应人名称：</w:t>
            </w:r>
            <w:r>
              <w:rPr>
                <w:rFonts w:hint="eastAsia" w:ascii="仿宋" w:hAnsi="仿宋" w:eastAsia="仿宋" w:cs="仿宋"/>
                <w:color w:val="auto"/>
                <w:sz w:val="24"/>
                <w:szCs w:val="24"/>
                <w:highlight w:val="none"/>
                <w:u w:val="single"/>
              </w:rPr>
              <w:t xml:space="preserve">                    </w:t>
            </w:r>
          </w:p>
          <w:p w14:paraId="623C91C0">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A078B3">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E72A5E">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1E31D1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 xml:space="preserve">电子邮箱：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C9BFA2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在截止时间前不得启封</w:t>
            </w:r>
          </w:p>
          <w:p w14:paraId="2B31720D">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p>
        </w:tc>
      </w:tr>
    </w:tbl>
    <w:p w14:paraId="2B572523">
      <w:pPr>
        <w:numPr>
          <w:ilvl w:val="0"/>
          <w:numId w:val="0"/>
        </w:numPr>
        <w:spacing w:line="578" w:lineRule="exact"/>
        <w:ind w:firstLine="640" w:firstLineChars="200"/>
        <w:rPr>
          <w:rFonts w:ascii="仿宋" w:hAnsi="仿宋" w:eastAsia="仿宋" w:cs="黑体"/>
          <w:bCs/>
          <w:color w:val="auto"/>
          <w:sz w:val="32"/>
          <w:szCs w:val="32"/>
          <w:highlight w:val="none"/>
          <w:lang w:val="en-US"/>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评议</w:t>
      </w:r>
      <w:r>
        <w:rPr>
          <w:rFonts w:hint="default" w:ascii="仿宋" w:hAnsi="仿宋" w:eastAsia="仿宋" w:cs="仿宋_GB2312"/>
          <w:color w:val="auto"/>
          <w:sz w:val="32"/>
          <w:szCs w:val="32"/>
          <w:highlight w:val="none"/>
          <w:lang w:val="en-US" w:eastAsia="zh-CN"/>
        </w:rPr>
        <w:t>小组作否决投标处理。</w:t>
      </w:r>
    </w:p>
    <w:p w14:paraId="47D07A4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3" w:name="_Toc14996"/>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的</w:t>
      </w:r>
      <w:bookmarkEnd w:id="33"/>
      <w:r>
        <w:rPr>
          <w:rFonts w:hint="eastAsia" w:ascii="仿宋" w:hAnsi="仿宋" w:eastAsia="仿宋" w:cs="黑体"/>
          <w:bCs/>
          <w:color w:val="auto"/>
          <w:sz w:val="32"/>
          <w:szCs w:val="32"/>
          <w:highlight w:val="none"/>
          <w:lang w:val="en-US" w:eastAsia="zh-CN"/>
        </w:rPr>
        <w:t>的补充、修改与撤回</w:t>
      </w:r>
    </w:p>
    <w:p w14:paraId="7452D59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（一）响应人在递交响应文件以后，在规定的响应文件送达截止时间之前，应以书面形式递交补充、修改文件。补充、修改的内容为响应文件的组成部分。</w:t>
      </w:r>
    </w:p>
    <w:p w14:paraId="3DBE322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（二）响应人对响应文件的补充、修改，应按前述规定进行密封和标志，并在响应文件密封袋上清楚标明“补充、修改”字样。</w:t>
      </w:r>
    </w:p>
    <w:p w14:paraId="5509481A">
      <w:pPr>
        <w:numPr>
          <w:ilvl w:val="0"/>
          <w:numId w:val="0"/>
        </w:numPr>
        <w:spacing w:line="578" w:lineRule="exact"/>
        <w:ind w:firstLine="640" w:firstLineChars="200"/>
        <w:rPr>
          <w:rFonts w:hint="default" w:ascii="仿宋" w:hAnsi="仿宋" w:eastAsia="仿宋" w:cs="仿宋_GB2312"/>
          <w:color w:val="auto"/>
          <w:sz w:val="32"/>
          <w:szCs w:val="32"/>
          <w:highlight w:val="none"/>
          <w:lang w:val="en-US"/>
        </w:rPr>
      </w:pPr>
      <w:r>
        <w:rPr>
          <w:rFonts w:hint="eastAsia" w:ascii="仿宋" w:hAnsi="仿宋" w:eastAsia="仿宋" w:cs="仿宋_GB2312"/>
          <w:color w:val="auto"/>
          <w:sz w:val="32"/>
          <w:szCs w:val="32"/>
          <w:highlight w:val="none"/>
          <w:lang w:val="en-US" w:eastAsia="zh-CN"/>
        </w:rPr>
        <w:t>（三）响应人在递交响应文件以后，在规定的响应文件送达截止时间之前，可采用邮件等书面形式通知采购人撤回已递交的响应文件。</w:t>
      </w:r>
    </w:p>
    <w:p w14:paraId="3A82DA0D">
      <w:pPr>
        <w:rPr>
          <w:color w:val="auto"/>
          <w:highlight w:val="none"/>
          <w:lang w:val="en-US"/>
        </w:rPr>
      </w:pPr>
      <w:r>
        <w:rPr>
          <w:color w:val="auto"/>
          <w:highlight w:val="none"/>
          <w:lang w:val="en-US"/>
        </w:rPr>
        <w:br w:type="page"/>
      </w:r>
    </w:p>
    <w:p w14:paraId="4F53721F">
      <w:pPr>
        <w:numPr>
          <w:ilvl w:val="0"/>
          <w:numId w:val="2"/>
        </w:numPr>
        <w:spacing w:line="578" w:lineRule="exact"/>
        <w:ind w:firstLine="0"/>
        <w:jc w:val="center"/>
        <w:outlineLvl w:val="0"/>
        <w:rPr>
          <w:rFonts w:hint="eastAsia" w:ascii="黑体" w:hAnsi="黑体" w:eastAsia="黑体" w:cs="黑体"/>
          <w:b/>
          <w:bCs/>
          <w:color w:val="auto"/>
          <w:sz w:val="36"/>
          <w:szCs w:val="36"/>
          <w:highlight w:val="none"/>
        </w:rPr>
      </w:pPr>
      <w:bookmarkStart w:id="34" w:name="_Toc3461"/>
      <w:r>
        <w:rPr>
          <w:rFonts w:hint="eastAsia" w:ascii="黑体" w:hAnsi="黑体" w:eastAsia="黑体" w:cs="黑体"/>
          <w:b/>
          <w:bCs/>
          <w:color w:val="auto"/>
          <w:sz w:val="36"/>
          <w:szCs w:val="36"/>
          <w:highlight w:val="none"/>
          <w:lang w:val="en-US" w:eastAsia="zh-CN"/>
        </w:rPr>
        <w:t>评议办法</w:t>
      </w:r>
      <w:bookmarkEnd w:id="34"/>
    </w:p>
    <w:p w14:paraId="7480AB32">
      <w:pPr>
        <w:spacing w:line="578" w:lineRule="exact"/>
        <w:ind w:firstLine="640" w:firstLineChars="200"/>
        <w:rPr>
          <w:rFonts w:hint="eastAsia" w:ascii="仿宋" w:hAnsi="仿宋" w:eastAsia="仿宋" w:cs="仿宋_GB2312"/>
          <w:color w:val="auto"/>
          <w:sz w:val="32"/>
          <w:szCs w:val="32"/>
          <w:highlight w:val="none"/>
        </w:rPr>
      </w:pPr>
    </w:p>
    <w:p w14:paraId="70F31372">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5" w:name="_Toc3915"/>
      <w:bookmarkStart w:id="36" w:name="_Toc476040097"/>
      <w:bookmarkStart w:id="37" w:name="_Toc486213608"/>
      <w:bookmarkStart w:id="38" w:name="_Toc446323063"/>
      <w:bookmarkStart w:id="39" w:name="_Toc486212892"/>
      <w:bookmarkStart w:id="40" w:name="_Toc53994649"/>
      <w:bookmarkStart w:id="41" w:name="_Toc441837630"/>
      <w:bookmarkStart w:id="42" w:name="_Toc441838021"/>
      <w:bookmarkStart w:id="43" w:name="_Toc475527270"/>
      <w:r>
        <w:rPr>
          <w:rFonts w:hint="eastAsia" w:ascii="仿宋" w:hAnsi="仿宋" w:eastAsia="仿宋" w:cs="黑体"/>
          <w:bCs/>
          <w:color w:val="auto"/>
          <w:sz w:val="32"/>
          <w:szCs w:val="32"/>
          <w:highlight w:val="none"/>
          <w:lang w:val="en-US" w:eastAsia="zh-CN"/>
        </w:rPr>
        <w:t>评议</w:t>
      </w:r>
      <w:r>
        <w:rPr>
          <w:rFonts w:hint="eastAsia" w:ascii="仿宋" w:hAnsi="仿宋" w:eastAsia="仿宋" w:cs="黑体"/>
          <w:bCs/>
          <w:color w:val="auto"/>
          <w:sz w:val="32"/>
          <w:szCs w:val="32"/>
          <w:highlight w:val="none"/>
          <w:lang w:val="en-US"/>
        </w:rPr>
        <w:t>方法</w:t>
      </w:r>
      <w:bookmarkEnd w:id="35"/>
    </w:p>
    <w:p w14:paraId="4C8A1BD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本次</w:t>
      </w:r>
      <w:r>
        <w:rPr>
          <w:rFonts w:hint="eastAsia" w:ascii="仿宋" w:hAnsi="仿宋" w:eastAsia="仿宋" w:cs="仿宋_GB2312"/>
          <w:color w:val="auto"/>
          <w:sz w:val="32"/>
          <w:szCs w:val="32"/>
          <w:highlight w:val="none"/>
          <w:lang w:eastAsia="zh-CN"/>
        </w:rPr>
        <w:t>评议</w:t>
      </w:r>
      <w:r>
        <w:rPr>
          <w:rFonts w:hint="eastAsia" w:ascii="仿宋" w:hAnsi="仿宋" w:eastAsia="仿宋" w:cs="仿宋_GB2312"/>
          <w:color w:val="auto"/>
          <w:sz w:val="32"/>
          <w:szCs w:val="32"/>
          <w:highlight w:val="none"/>
        </w:rPr>
        <w:t>采用综合</w:t>
      </w:r>
      <w:r>
        <w:rPr>
          <w:rFonts w:hint="eastAsia" w:ascii="仿宋" w:hAnsi="仿宋" w:eastAsia="仿宋" w:cs="仿宋_GB2312"/>
          <w:color w:val="auto"/>
          <w:sz w:val="32"/>
          <w:szCs w:val="32"/>
          <w:highlight w:val="none"/>
          <w:lang w:val="en-US" w:eastAsia="zh-CN"/>
        </w:rPr>
        <w:t>评价</w:t>
      </w:r>
      <w:r>
        <w:rPr>
          <w:rFonts w:hint="eastAsia" w:ascii="仿宋" w:hAnsi="仿宋" w:eastAsia="仿宋" w:cs="仿宋_GB2312"/>
          <w:color w:val="auto"/>
          <w:sz w:val="32"/>
          <w:szCs w:val="32"/>
          <w:highlight w:val="none"/>
        </w:rPr>
        <w:t>法进行评价</w:t>
      </w:r>
      <w:r>
        <w:rPr>
          <w:rFonts w:hint="eastAsia" w:ascii="仿宋" w:hAnsi="仿宋" w:eastAsia="仿宋" w:cs="仿宋_GB2312"/>
          <w:color w:val="auto"/>
          <w:sz w:val="32"/>
          <w:szCs w:val="32"/>
          <w:highlight w:val="none"/>
          <w:lang w:val="en-US" w:eastAsia="zh-CN"/>
        </w:rPr>
        <w:t>（总分100分）。综合得分=“业绩评分”得分+“服务评分”得分+“价格评分”得分-扣分项。</w:t>
      </w:r>
    </w:p>
    <w:p w14:paraId="7A190D5D">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44" w:name="_Toc540"/>
      <w:r>
        <w:rPr>
          <w:rFonts w:hint="eastAsia" w:ascii="仿宋" w:hAnsi="仿宋" w:eastAsia="仿宋" w:cs="黑体"/>
          <w:bCs/>
          <w:color w:val="auto"/>
          <w:sz w:val="32"/>
          <w:szCs w:val="32"/>
          <w:highlight w:val="none"/>
          <w:lang w:val="en-US"/>
        </w:rPr>
        <w:t>评</w:t>
      </w:r>
      <w:r>
        <w:rPr>
          <w:rFonts w:hint="eastAsia" w:ascii="仿宋" w:hAnsi="仿宋" w:eastAsia="仿宋" w:cs="黑体"/>
          <w:bCs/>
          <w:color w:val="auto"/>
          <w:sz w:val="32"/>
          <w:szCs w:val="32"/>
          <w:highlight w:val="none"/>
          <w:lang w:val="en-US" w:eastAsia="zh-CN"/>
        </w:rPr>
        <w:t>审标准</w:t>
      </w:r>
      <w:bookmarkEnd w:id="44"/>
    </w:p>
    <w:p w14:paraId="3DBBB92F">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（一）资格审查</w:t>
      </w:r>
    </w:p>
    <w:p w14:paraId="74B44D71">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评议小组根据《资格审查表》内容进行初步审查，响应人必须符合资质审查和形式审查的所有要求才能参与下一步评审，只要出现一项不符合的情形，由评议小组作否决投标处理。</w:t>
      </w:r>
    </w:p>
    <w:p w14:paraId="7F95F3AA">
      <w:pPr>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《资格审查表》如下：</w:t>
      </w:r>
    </w:p>
    <w:tbl>
      <w:tblPr>
        <w:tblStyle w:val="15"/>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43"/>
        <w:gridCol w:w="6652"/>
      </w:tblGrid>
      <w:tr w14:paraId="064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4" w:type="dxa"/>
            <w:gridSpan w:val="2"/>
            <w:vAlign w:val="center"/>
          </w:tcPr>
          <w:p w14:paraId="0B218723">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评审因素</w:t>
            </w:r>
          </w:p>
        </w:tc>
        <w:tc>
          <w:tcPr>
            <w:tcW w:w="6652" w:type="dxa"/>
            <w:vAlign w:val="center"/>
          </w:tcPr>
          <w:p w14:paraId="43A0D03A">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评审标准</w:t>
            </w:r>
          </w:p>
        </w:tc>
      </w:tr>
      <w:tr w14:paraId="0A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restart"/>
            <w:textDirection w:val="tbRlV"/>
            <w:vAlign w:val="center"/>
          </w:tcPr>
          <w:p w14:paraId="0095C8A2">
            <w:pPr>
              <w:ind w:left="113" w:right="113"/>
              <w:jc w:val="center"/>
              <w:rPr>
                <w:rFonts w:hint="default" w:ascii="Times New Roman" w:hAnsi="Times New Roman" w:eastAsia="仿宋_GB2312" w:cs="Times New Roman"/>
                <w:b w:val="0"/>
                <w:bCs/>
                <w:color w:val="auto"/>
                <w:sz w:val="24"/>
                <w:szCs w:val="24"/>
                <w:highlight w:val="none"/>
                <w:u w:val="none"/>
                <w:lang w:val="en-US" w:eastAsia="zh-CN"/>
              </w:rPr>
            </w:pPr>
            <w:r>
              <w:rPr>
                <w:rFonts w:hint="default" w:ascii="Times New Roman" w:hAnsi="Times New Roman" w:eastAsia="仿宋_GB2312" w:cs="Times New Roman"/>
                <w:b w:val="0"/>
                <w:bCs/>
                <w:color w:val="auto"/>
                <w:sz w:val="24"/>
                <w:szCs w:val="24"/>
                <w:highlight w:val="none"/>
                <w:u w:val="none"/>
                <w:lang w:val="en-US" w:eastAsia="zh-CN"/>
              </w:rPr>
              <w:t>资质审查</w:t>
            </w:r>
          </w:p>
        </w:tc>
        <w:tc>
          <w:tcPr>
            <w:tcW w:w="1343" w:type="dxa"/>
            <w:vMerge w:val="restart"/>
            <w:vAlign w:val="center"/>
          </w:tcPr>
          <w:p w14:paraId="6B1E0470">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GB"/>
              </w:rPr>
              <w:t>资质</w:t>
            </w:r>
            <w:r>
              <w:rPr>
                <w:rFonts w:hint="eastAsia" w:ascii="Times New Roman" w:hAnsi="Times New Roman" w:eastAsia="仿宋_GB2312" w:cs="Times New Roman"/>
                <w:b w:val="0"/>
                <w:bCs/>
                <w:color w:val="auto"/>
                <w:sz w:val="24"/>
                <w:szCs w:val="24"/>
                <w:highlight w:val="none"/>
                <w:lang w:val="en-US" w:eastAsia="zh-CN"/>
              </w:rPr>
              <w:t>要求</w:t>
            </w:r>
          </w:p>
        </w:tc>
        <w:tc>
          <w:tcPr>
            <w:tcW w:w="6652" w:type="dxa"/>
            <w:vAlign w:val="center"/>
          </w:tcPr>
          <w:p w14:paraId="61813999">
            <w:pPr>
              <w:jc w:val="both"/>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具有独立法人资格并依法取得企业法人营业执照</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提供营业执照复印件并加盖公章）</w:t>
            </w:r>
          </w:p>
        </w:tc>
      </w:tr>
      <w:tr w14:paraId="1D6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41" w:type="dxa"/>
            <w:vMerge w:val="continue"/>
            <w:textDirection w:val="tbRlV"/>
            <w:vAlign w:val="center"/>
          </w:tcPr>
          <w:p w14:paraId="19F5DFA6">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0E988F0A">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3B5C48FF">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 w:val="0"/>
                <w:bCs/>
                <w:color w:val="auto"/>
                <w:sz w:val="24"/>
                <w:szCs w:val="24"/>
                <w:highlight w:val="none"/>
                <w:lang w:val="en-US" w:eastAsia="zh-CN"/>
              </w:rPr>
              <w:t>同时持</w:t>
            </w:r>
            <w:r>
              <w:rPr>
                <w:rFonts w:hint="default" w:ascii="Times New Roman" w:hAnsi="Times New Roman" w:eastAsia="仿宋_GB2312" w:cs="Times New Roman"/>
                <w:b w:val="0"/>
                <w:bCs/>
                <w:color w:val="auto"/>
                <w:sz w:val="24"/>
                <w:szCs w:val="24"/>
                <w:highlight w:val="none"/>
                <w:lang w:val="en-GB"/>
              </w:rPr>
              <w:t>有中国人民银行、中国证监会</w:t>
            </w:r>
            <w:r>
              <w:rPr>
                <w:rFonts w:hint="default" w:ascii="Times New Roman" w:hAnsi="Times New Roman" w:eastAsia="仿宋_GB2312" w:cs="Times New Roman"/>
                <w:b w:val="0"/>
                <w:bCs/>
                <w:color w:val="auto"/>
                <w:sz w:val="24"/>
                <w:szCs w:val="24"/>
                <w:highlight w:val="none"/>
                <w:lang w:val="en-US" w:eastAsia="zh-CN"/>
              </w:rPr>
              <w:t>和</w:t>
            </w:r>
            <w:r>
              <w:rPr>
                <w:rFonts w:hint="default" w:ascii="Times New Roman" w:hAnsi="Times New Roman" w:eastAsia="仿宋_GB2312" w:cs="Times New Roman"/>
                <w:b w:val="0"/>
                <w:bCs/>
                <w:color w:val="auto"/>
                <w:sz w:val="24"/>
                <w:szCs w:val="24"/>
                <w:highlight w:val="none"/>
                <w:lang w:val="en-GB"/>
              </w:rPr>
              <w:t>中国银行间市场交易商协会等相关部门颁发</w:t>
            </w:r>
            <w:r>
              <w:rPr>
                <w:rFonts w:hint="default" w:ascii="Times New Roman" w:hAnsi="Times New Roman" w:eastAsia="仿宋_GB2312" w:cs="Times New Roman"/>
                <w:b w:val="0"/>
                <w:bCs/>
                <w:color w:val="auto"/>
                <w:sz w:val="24"/>
                <w:szCs w:val="24"/>
                <w:highlight w:val="none"/>
                <w:lang w:val="en-US" w:eastAsia="zh-CN"/>
              </w:rPr>
              <w:t>或认可</w:t>
            </w:r>
            <w:r>
              <w:rPr>
                <w:rFonts w:hint="default" w:ascii="Times New Roman" w:hAnsi="Times New Roman" w:eastAsia="仿宋_GB2312" w:cs="Times New Roman"/>
                <w:b w:val="0"/>
                <w:bCs/>
                <w:color w:val="auto"/>
                <w:sz w:val="24"/>
                <w:szCs w:val="24"/>
                <w:highlight w:val="none"/>
                <w:lang w:val="en-GB"/>
              </w:rPr>
              <w:t>的信用评级业务资质证书</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提供证书复印件并加盖公章）</w:t>
            </w:r>
          </w:p>
        </w:tc>
      </w:tr>
      <w:tr w14:paraId="092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vMerge w:val="continue"/>
            <w:textDirection w:val="tbRlV"/>
            <w:vAlign w:val="center"/>
          </w:tcPr>
          <w:p w14:paraId="32B929CE">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1BCEC79">
            <w:pPr>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监管合规</w:t>
            </w:r>
          </w:p>
        </w:tc>
        <w:tc>
          <w:tcPr>
            <w:tcW w:w="6652" w:type="dxa"/>
            <w:vAlign w:val="center"/>
          </w:tcPr>
          <w:p w14:paraId="7B6A4018">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近3年（自2022年9月1日起至本项目响应文件提交截止之日止）</w:t>
            </w:r>
            <w:r>
              <w:rPr>
                <w:rFonts w:hint="default" w:ascii="Times New Roman" w:hAnsi="Times New Roman" w:eastAsia="仿宋_GB2312" w:cs="Times New Roman"/>
                <w:b w:val="0"/>
                <w:bCs/>
                <w:color w:val="auto"/>
                <w:sz w:val="24"/>
                <w:szCs w:val="24"/>
                <w:highlight w:val="none"/>
                <w:lang w:val="en-GB" w:eastAsia="zh-CN"/>
              </w:rPr>
              <w:t>在经营活动中无</w:t>
            </w:r>
            <w:r>
              <w:rPr>
                <w:rFonts w:hint="eastAsia" w:ascii="Times New Roman" w:hAnsi="Times New Roman" w:eastAsia="仿宋_GB2312" w:cs="Times New Roman"/>
                <w:b w:val="0"/>
                <w:bCs/>
                <w:color w:val="auto"/>
                <w:sz w:val="24"/>
                <w:szCs w:val="24"/>
                <w:highlight w:val="none"/>
                <w:lang w:val="en-US" w:eastAsia="zh-CN"/>
              </w:rPr>
              <w:t>以下</w:t>
            </w:r>
            <w:r>
              <w:rPr>
                <w:rFonts w:hint="default" w:ascii="Times New Roman" w:hAnsi="Times New Roman" w:eastAsia="仿宋_GB2312" w:cs="Times New Roman"/>
                <w:b w:val="0"/>
                <w:bCs/>
                <w:color w:val="auto"/>
                <w:sz w:val="24"/>
                <w:szCs w:val="24"/>
                <w:highlight w:val="none"/>
                <w:lang w:val="en-GB" w:eastAsia="zh-CN"/>
              </w:rPr>
              <w:t>不良行为记录：没有处于被责令停业、投标资格被取消、财产被接管、冻结、破产状态，在经营活动中没有重大违法记录</w:t>
            </w:r>
            <w:r>
              <w:rPr>
                <w:rFonts w:hint="eastAsia" w:ascii="Times New Roman" w:hAnsi="Times New Roman" w:eastAsia="仿宋_GB2312" w:cs="Times New Roman"/>
                <w:b w:val="0"/>
                <w:bCs/>
                <w:color w:val="auto"/>
                <w:sz w:val="24"/>
                <w:szCs w:val="24"/>
                <w:highlight w:val="none"/>
                <w:lang w:val="en-GB" w:eastAsia="zh-CN"/>
              </w:rPr>
              <w:t>（声明格式</w:t>
            </w:r>
            <w:r>
              <w:rPr>
                <w:rFonts w:hint="eastAsia" w:ascii="Times New Roman" w:hAnsi="Times New Roman" w:eastAsia="仿宋_GB2312" w:cs="Times New Roman"/>
                <w:b w:val="0"/>
                <w:bCs/>
                <w:color w:val="auto"/>
                <w:sz w:val="24"/>
                <w:szCs w:val="24"/>
                <w:highlight w:val="none"/>
                <w:lang w:val="en-US" w:eastAsia="zh-CN"/>
              </w:rPr>
              <w:t>见附件4</w:t>
            </w:r>
            <w:r>
              <w:rPr>
                <w:rFonts w:hint="eastAsia" w:ascii="Times New Roman" w:hAnsi="Times New Roman" w:eastAsia="仿宋_GB2312" w:cs="Times New Roman"/>
                <w:b w:val="0"/>
                <w:bCs/>
                <w:color w:val="auto"/>
                <w:sz w:val="24"/>
                <w:szCs w:val="24"/>
                <w:highlight w:val="none"/>
                <w:lang w:val="en-GB" w:eastAsia="zh-CN"/>
              </w:rPr>
              <w:t>，加盖公章，法定代表人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eastAsia" w:ascii="Times New Roman" w:hAnsi="Times New Roman" w:eastAsia="仿宋_GB2312" w:cs="Times New Roman"/>
                <w:b w:val="0"/>
                <w:bCs/>
                <w:color w:val="auto"/>
                <w:sz w:val="24"/>
                <w:szCs w:val="24"/>
                <w:highlight w:val="none"/>
                <w:lang w:val="en-GB" w:eastAsia="zh-CN"/>
              </w:rPr>
              <w:t>）</w:t>
            </w:r>
          </w:p>
        </w:tc>
      </w:tr>
      <w:tr w14:paraId="270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41" w:type="dxa"/>
            <w:vMerge w:val="continue"/>
            <w:textDirection w:val="tbRlV"/>
            <w:vAlign w:val="center"/>
          </w:tcPr>
          <w:p w14:paraId="0E4650E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restart"/>
            <w:vAlign w:val="center"/>
          </w:tcPr>
          <w:p w14:paraId="20A69813">
            <w:pPr>
              <w:jc w:val="cente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rPr>
              <w:t>信用</w:t>
            </w:r>
            <w:r>
              <w:rPr>
                <w:rFonts w:hint="eastAsia" w:ascii="Times New Roman" w:hAnsi="Times New Roman" w:eastAsia="仿宋_GB2312" w:cs="Times New Roman"/>
                <w:b w:val="0"/>
                <w:bCs/>
                <w:color w:val="auto"/>
                <w:sz w:val="24"/>
                <w:szCs w:val="24"/>
                <w:highlight w:val="none"/>
                <w:lang w:val="en-US" w:eastAsia="zh-CN"/>
              </w:rPr>
              <w:t>状况</w:t>
            </w:r>
          </w:p>
        </w:tc>
        <w:tc>
          <w:tcPr>
            <w:tcW w:w="6652" w:type="dxa"/>
            <w:vAlign w:val="center"/>
          </w:tcPr>
          <w:p w14:paraId="49606632">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在“信用中国”网站（www.creditchina.gov.cn）未被列入失信被执行人、重大税收违法失信主体、政府采购严重违法失信记录名单（提供网站查询截图并加盖公章）</w:t>
            </w:r>
          </w:p>
        </w:tc>
      </w:tr>
      <w:tr w14:paraId="4A7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textDirection w:val="tbRlV"/>
            <w:vAlign w:val="center"/>
          </w:tcPr>
          <w:p w14:paraId="39EE3C8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4819977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123AC316">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在中国政府采购网（www.ccgp.gov.cn）未被列入政府采购严重违法失信行为记录名单、政府采购代理机构不良行为记录名单（提供网站查询截图并加盖公章）</w:t>
            </w:r>
          </w:p>
        </w:tc>
      </w:tr>
      <w:tr w14:paraId="20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41" w:type="dxa"/>
            <w:vMerge w:val="continue"/>
            <w:textDirection w:val="tbRlV"/>
            <w:vAlign w:val="center"/>
          </w:tcPr>
          <w:p w14:paraId="6C1C253B">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63A5933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6DFAFDBE">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在中国执行网（http://zxgk.court.gov.cn/shixin/）未被列入失信被执行人名单（提供网站查询截图并加盖公章）</w:t>
            </w:r>
          </w:p>
        </w:tc>
      </w:tr>
      <w:tr w14:paraId="3DB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1" w:type="dxa"/>
            <w:vMerge w:val="continue"/>
            <w:textDirection w:val="tbRlV"/>
            <w:vAlign w:val="center"/>
          </w:tcPr>
          <w:p w14:paraId="016DF263">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33C6273">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关联关系</w:t>
            </w:r>
          </w:p>
        </w:tc>
        <w:tc>
          <w:tcPr>
            <w:tcW w:w="6652" w:type="dxa"/>
            <w:vAlign w:val="center"/>
          </w:tcPr>
          <w:p w14:paraId="1E389908">
            <w:pPr>
              <w:rPr>
                <w:rFonts w:hint="default" w:ascii="Times New Roman" w:hAnsi="Times New Roman" w:eastAsia="仿宋_GB2312" w:cs="Times New Roman"/>
                <w:b w:val="0"/>
                <w:bCs/>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val="en-US" w:eastAsia="zh-CN"/>
              </w:rPr>
              <w:t>参加比选的供应商</w:t>
            </w:r>
            <w:r>
              <w:rPr>
                <w:rFonts w:hint="default" w:ascii="Times New Roman" w:hAnsi="Times New Roman" w:eastAsia="仿宋_GB2312" w:cs="Times New Roman"/>
                <w:b w:val="0"/>
                <w:bCs/>
                <w:color w:val="auto"/>
                <w:sz w:val="24"/>
                <w:szCs w:val="24"/>
                <w:highlight w:val="none"/>
                <w:lang w:val="en-US" w:eastAsia="zh-CN"/>
              </w:rPr>
              <w:t>不存在以下关联关系：</w:t>
            </w:r>
            <w:r>
              <w:rPr>
                <w:rFonts w:hint="eastAsia" w:ascii="Times New Roman" w:hAnsi="Times New Roman" w:eastAsia="仿宋_GB2312" w:cs="Times New Roman"/>
                <w:bCs/>
                <w:color w:val="auto"/>
                <w:sz w:val="24"/>
                <w:highlight w:val="none"/>
                <w:lang w:eastAsia="zh-CN"/>
              </w:rPr>
              <w:t>法定代表人</w:t>
            </w:r>
            <w:r>
              <w:rPr>
                <w:rFonts w:hint="default" w:ascii="Times New Roman" w:hAnsi="Times New Roman" w:eastAsia="仿宋_GB2312" w:cs="Times New Roman"/>
                <w:bCs/>
                <w:color w:val="auto"/>
                <w:sz w:val="24"/>
                <w:highlight w:val="none"/>
              </w:rPr>
              <w:t>为同一人或者存在直接控股、管理关系</w:t>
            </w:r>
            <w:r>
              <w:rPr>
                <w:rFonts w:hint="default" w:ascii="Times New Roman" w:hAnsi="Times New Roman" w:eastAsia="仿宋_GB2312" w:cs="Times New Roman"/>
                <w:b w:val="0"/>
                <w:bCs/>
                <w:color w:val="auto"/>
                <w:sz w:val="24"/>
                <w:szCs w:val="24"/>
                <w:highlight w:val="none"/>
                <w:lang w:val="en-US" w:eastAsia="zh-CN"/>
              </w:rPr>
              <w:t>（声明格式自拟，加盖公章，法定代表人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US" w:eastAsia="zh-CN"/>
              </w:rPr>
              <w:t>）</w:t>
            </w:r>
          </w:p>
        </w:tc>
      </w:tr>
      <w:tr w14:paraId="0DC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continue"/>
            <w:textDirection w:val="tbRlV"/>
            <w:vAlign w:val="center"/>
          </w:tcPr>
          <w:p w14:paraId="71F55A0C">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46C06AC8">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独立性</w:t>
            </w:r>
          </w:p>
        </w:tc>
        <w:tc>
          <w:tcPr>
            <w:tcW w:w="6652" w:type="dxa"/>
            <w:vAlign w:val="center"/>
          </w:tcPr>
          <w:p w14:paraId="14D676C8">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US" w:eastAsia="zh-CN"/>
              </w:rPr>
              <w:t>不是</w:t>
            </w:r>
            <w:r>
              <w:rPr>
                <w:rFonts w:hint="default" w:ascii="Times New Roman" w:hAnsi="Times New Roman" w:eastAsia="仿宋_GB2312" w:cs="Times New Roman"/>
                <w:b w:val="0"/>
                <w:bCs/>
                <w:color w:val="auto"/>
                <w:sz w:val="24"/>
                <w:szCs w:val="24"/>
                <w:highlight w:val="none"/>
                <w:lang w:val="en-GB" w:eastAsia="zh-CN"/>
              </w:rPr>
              <w:t>联合体投标，不得转包和分包（声明格式自拟，加盖公章，法定代表人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GB" w:eastAsia="zh-CN"/>
              </w:rPr>
              <w:t>）</w:t>
            </w:r>
          </w:p>
        </w:tc>
      </w:tr>
      <w:tr w14:paraId="37D7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restart"/>
            <w:textDirection w:val="tbRlV"/>
            <w:vAlign w:val="center"/>
          </w:tcPr>
          <w:p w14:paraId="5E741490">
            <w:pPr>
              <w:ind w:left="113" w:right="113"/>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u w:val="none"/>
                <w:lang w:val="en-US" w:eastAsia="zh-CN"/>
              </w:rPr>
              <w:t>形式</w:t>
            </w:r>
            <w:r>
              <w:rPr>
                <w:rFonts w:hint="default" w:ascii="Times New Roman" w:hAnsi="Times New Roman" w:eastAsia="仿宋_GB2312" w:cs="Times New Roman"/>
                <w:b w:val="0"/>
                <w:bCs/>
                <w:color w:val="auto"/>
                <w:sz w:val="24"/>
                <w:szCs w:val="24"/>
                <w:highlight w:val="none"/>
                <w:u w:val="none"/>
              </w:rPr>
              <w:t>审查</w:t>
            </w:r>
          </w:p>
        </w:tc>
        <w:tc>
          <w:tcPr>
            <w:tcW w:w="1343" w:type="dxa"/>
            <w:shd w:val="clear" w:color="auto" w:fill="auto"/>
            <w:vAlign w:val="center"/>
          </w:tcPr>
          <w:p w14:paraId="6BD7AB18">
            <w:pPr>
              <w:jc w:val="cente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文件递交合规</w:t>
            </w:r>
          </w:p>
        </w:tc>
        <w:tc>
          <w:tcPr>
            <w:tcW w:w="6652" w:type="dxa"/>
            <w:shd w:val="clear" w:color="auto" w:fill="auto"/>
            <w:vAlign w:val="center"/>
          </w:tcPr>
          <w:p w14:paraId="36B209CB">
            <w:pP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default" w:ascii="Times New Roman" w:hAnsi="Times New Roman" w:eastAsia="仿宋_GB2312" w:cs="Times New Roman"/>
                <w:b w:val="0"/>
                <w:bCs/>
                <w:color w:val="auto"/>
                <w:sz w:val="24"/>
                <w:szCs w:val="24"/>
                <w:highlight w:val="none"/>
                <w:lang w:val="en-US" w:eastAsia="zh-CN"/>
              </w:rPr>
              <w:t>符合第一章</w:t>
            </w:r>
            <w:r>
              <w:rPr>
                <w:rFonts w:hint="default"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响应人须知</w:t>
            </w:r>
            <w:r>
              <w:rPr>
                <w:rFonts w:hint="default" w:ascii="Times New Roman" w:hAnsi="Times New Roman" w:eastAsia="仿宋_GB2312" w:cs="Times New Roman"/>
                <w:b w:val="0"/>
                <w:bCs/>
                <w:color w:val="auto"/>
                <w:sz w:val="24"/>
                <w:szCs w:val="24"/>
                <w:highlight w:val="none"/>
                <w:lang w:val="en-GB" w:eastAsia="zh-CN"/>
              </w:rPr>
              <w:t>”</w:t>
            </w:r>
            <w:r>
              <w:rPr>
                <w:rFonts w:hint="default" w:ascii="Times New Roman" w:hAnsi="Times New Roman" w:eastAsia="仿宋_GB2312" w:cs="Times New Roman"/>
                <w:b w:val="0"/>
                <w:bCs/>
                <w:color w:val="auto"/>
                <w:sz w:val="24"/>
                <w:szCs w:val="24"/>
                <w:highlight w:val="none"/>
                <w:lang w:val="en-US" w:eastAsia="zh-CN"/>
              </w:rPr>
              <w:t>第四条</w:t>
            </w:r>
            <w:r>
              <w:rPr>
                <w:rFonts w:hint="eastAsia" w:ascii="Times New Roman" w:hAnsi="Times New Roman" w:eastAsia="仿宋_GB2312" w:cs="Times New Roman"/>
                <w:b w:val="0"/>
                <w:bCs/>
                <w:color w:val="auto"/>
                <w:sz w:val="24"/>
                <w:szCs w:val="24"/>
                <w:highlight w:val="none"/>
                <w:lang w:val="en-US" w:eastAsia="zh-CN"/>
              </w:rPr>
              <w:t>关于</w:t>
            </w:r>
            <w:r>
              <w:rPr>
                <w:rFonts w:hint="eastAsia" w:ascii="Times New Roman" w:hAnsi="Times New Roman" w:eastAsia="仿宋_GB2312" w:cs="Times New Roman"/>
                <w:bCs/>
                <w:color w:val="auto"/>
                <w:sz w:val="24"/>
                <w:highlight w:val="none"/>
                <w:lang w:eastAsia="zh-CN"/>
              </w:rPr>
              <w:t>响应</w:t>
            </w:r>
            <w:r>
              <w:rPr>
                <w:rFonts w:hint="eastAsia" w:ascii="Times New Roman" w:hAnsi="Times New Roman" w:eastAsia="仿宋_GB2312" w:cs="Times New Roman"/>
                <w:bCs/>
                <w:color w:val="auto"/>
                <w:sz w:val="24"/>
                <w:highlight w:val="none"/>
              </w:rPr>
              <w:t>文件递交</w:t>
            </w:r>
            <w:r>
              <w:rPr>
                <w:rFonts w:hint="eastAsia" w:ascii="Times New Roman" w:hAnsi="Times New Roman" w:eastAsia="仿宋_GB2312" w:cs="Times New Roman"/>
                <w:bCs/>
                <w:color w:val="auto"/>
                <w:sz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p>
        </w:tc>
      </w:tr>
      <w:tr w14:paraId="519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textDirection w:val="tbRlV"/>
            <w:vAlign w:val="center"/>
          </w:tcPr>
          <w:p w14:paraId="1A82840B">
            <w:pPr>
              <w:ind w:left="113" w:right="113"/>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1930EC85">
            <w:pPr>
              <w:rPr>
                <w:rFonts w:hint="default" w:ascii="Times New Roman" w:hAnsi="Times New Roman" w:eastAsia="仿宋_GB2312" w:cs="Times New Roman"/>
                <w:b w:val="0"/>
                <w:bCs/>
                <w:color w:val="auto"/>
                <w:kern w:val="20"/>
                <w:sz w:val="24"/>
                <w:szCs w:val="24"/>
                <w:highlight w:val="none"/>
                <w:lang w:val="en-US" w:eastAsia="zh-CN" w:bidi="ar-SA"/>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rPr>
              <w:t>文件</w:t>
            </w:r>
            <w:r>
              <w:rPr>
                <w:rFonts w:hint="eastAsia" w:ascii="Times New Roman" w:hAnsi="Times New Roman" w:eastAsia="仿宋_GB2312" w:cs="Times New Roman"/>
                <w:b w:val="0"/>
                <w:bCs/>
                <w:color w:val="auto"/>
                <w:sz w:val="24"/>
                <w:szCs w:val="24"/>
                <w:highlight w:val="none"/>
                <w:lang w:val="en-US" w:eastAsia="zh-CN"/>
              </w:rPr>
              <w:t>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47DE824C">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rPr>
              <w:t>符合</w:t>
            </w:r>
            <w:r>
              <w:rPr>
                <w:rFonts w:hint="eastAsia" w:ascii="Times New Roman" w:hAnsi="Times New Roman" w:eastAsia="仿宋_GB2312" w:cs="Times New Roman"/>
                <w:b w:val="0"/>
                <w:bCs/>
                <w:color w:val="auto"/>
                <w:sz w:val="24"/>
                <w:szCs w:val="24"/>
                <w:highlight w:val="none"/>
                <w:lang w:val="en-US" w:eastAsia="zh-CN"/>
              </w:rPr>
              <w:t>第二</w:t>
            </w:r>
            <w:r>
              <w:rPr>
                <w:rFonts w:hint="default" w:ascii="Times New Roman" w:hAnsi="Times New Roman" w:eastAsia="仿宋_GB2312" w:cs="Times New Roman"/>
                <w:b w:val="0"/>
                <w:bCs/>
                <w:color w:val="auto"/>
                <w:sz w:val="24"/>
                <w:szCs w:val="24"/>
                <w:highlight w:val="none"/>
              </w:rPr>
              <w:t>章“</w:t>
            </w: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文件要求</w:t>
            </w:r>
            <w:r>
              <w:rPr>
                <w:rFonts w:hint="default" w:ascii="Times New Roman" w:hAnsi="Times New Roman" w:eastAsia="仿宋_GB2312" w:cs="Times New Roman"/>
                <w:b w:val="0"/>
                <w:bCs/>
                <w:color w:val="auto"/>
                <w:sz w:val="24"/>
                <w:szCs w:val="24"/>
                <w:highlight w:val="none"/>
              </w:rPr>
              <w:t>”</w:t>
            </w:r>
            <w:r>
              <w:rPr>
                <w:rFonts w:hint="eastAsia" w:ascii="Times New Roman" w:hAnsi="Times New Roman" w:eastAsia="仿宋_GB2312" w:cs="Times New Roman"/>
                <w:b w:val="0"/>
                <w:bCs/>
                <w:color w:val="auto"/>
                <w:sz w:val="24"/>
                <w:szCs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r>
              <w:rPr>
                <w:rFonts w:hint="default" w:ascii="Times New Roman" w:hAnsi="Times New Roman" w:eastAsia="仿宋_GB2312" w:cs="Times New Roman"/>
                <w:b w:val="0"/>
                <w:bCs/>
                <w:color w:val="auto"/>
                <w:sz w:val="24"/>
                <w:szCs w:val="24"/>
                <w:highlight w:val="none"/>
              </w:rPr>
              <w:t>。</w:t>
            </w:r>
          </w:p>
        </w:tc>
      </w:tr>
      <w:tr w14:paraId="519C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vAlign w:val="center"/>
          </w:tcPr>
          <w:p w14:paraId="5D1BBADB">
            <w:pPr>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2AA46A25">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2092625E">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附件齐全且未做</w:t>
            </w:r>
            <w:r>
              <w:rPr>
                <w:rFonts w:hint="eastAsia" w:ascii="Times New Roman" w:hAnsi="Times New Roman" w:eastAsia="仿宋_GB2312" w:cs="Times New Roman"/>
                <w:bCs/>
                <w:color w:val="auto"/>
                <w:sz w:val="24"/>
                <w:highlight w:val="none"/>
              </w:rPr>
              <w:t>实质性修改</w:t>
            </w:r>
            <w:r>
              <w:rPr>
                <w:rFonts w:hint="default" w:ascii="Times New Roman" w:hAnsi="Times New Roman" w:eastAsia="仿宋_GB2312" w:cs="Times New Roman"/>
                <w:b w:val="0"/>
                <w:bCs/>
                <w:color w:val="auto"/>
                <w:sz w:val="24"/>
                <w:szCs w:val="24"/>
                <w:highlight w:val="none"/>
                <w:lang w:val="en-US" w:eastAsia="zh-CN"/>
              </w:rPr>
              <w:t>（签署</w:t>
            </w:r>
            <w:r>
              <w:rPr>
                <w:rFonts w:hint="eastAsia" w:ascii="Times New Roman" w:hAnsi="Times New Roman" w:eastAsia="仿宋_GB2312" w:cs="Times New Roman"/>
                <w:b w:val="0"/>
                <w:bCs/>
                <w:color w:val="auto"/>
                <w:sz w:val="24"/>
                <w:szCs w:val="24"/>
                <w:highlight w:val="none"/>
                <w:lang w:val="en-US" w:eastAsia="zh-CN"/>
              </w:rPr>
              <w:t>附件1-4</w:t>
            </w:r>
            <w:r>
              <w:rPr>
                <w:rFonts w:hint="default" w:ascii="Times New Roman" w:hAnsi="Times New Roman" w:eastAsia="仿宋_GB2312" w:cs="Times New Roman"/>
                <w:b w:val="0"/>
                <w:bCs/>
                <w:color w:val="auto"/>
                <w:sz w:val="24"/>
                <w:szCs w:val="24"/>
                <w:highlight w:val="none"/>
                <w:lang w:val="en-US" w:eastAsia="zh-CN"/>
              </w:rPr>
              <w:t>）</w:t>
            </w:r>
          </w:p>
        </w:tc>
      </w:tr>
    </w:tbl>
    <w:p w14:paraId="7264AA2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注意：响应文件中的大写金额与小写金额不一致的，以大写金额为准；</w:t>
      </w:r>
    </w:p>
    <w:p w14:paraId="0FE6578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（二）综合评价</w:t>
      </w:r>
    </w:p>
    <w:p w14:paraId="3A52BBCC">
      <w:p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1.评分标准</w:t>
      </w:r>
    </w:p>
    <w:p w14:paraId="07EDDA82">
      <w:pPr>
        <w:spacing w:line="578" w:lineRule="exact"/>
        <w:ind w:firstLine="64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（1）综合评价的《评分标准表》如下：</w:t>
      </w:r>
    </w:p>
    <w:tbl>
      <w:tblPr>
        <w:tblStyle w:val="1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5165"/>
        <w:gridCol w:w="3077"/>
      </w:tblGrid>
      <w:tr w14:paraId="696C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75" w:type="dxa"/>
            <w:vAlign w:val="center"/>
          </w:tcPr>
          <w:p w14:paraId="7564D3A3">
            <w:pPr>
              <w:jc w:val="center"/>
              <w:rPr>
                <w:rFonts w:hint="default" w:ascii="Times New Roman" w:hAnsi="Times New Roman" w:eastAsia="仿宋_GB2312" w:cs="Times New Roman"/>
                <w:b/>
                <w:bCs w:val="0"/>
                <w:color w:val="auto"/>
                <w:szCs w:val="21"/>
                <w:highlight w:val="none"/>
                <w:u w:val="none"/>
                <w:lang w:val="en-US" w:eastAsia="zh-CN"/>
              </w:rPr>
            </w:pPr>
            <w:r>
              <w:rPr>
                <w:rFonts w:hint="default" w:ascii="Times New Roman" w:hAnsi="Times New Roman" w:eastAsia="仿宋_GB2312" w:cs="Times New Roman"/>
                <w:b/>
                <w:bCs w:val="0"/>
                <w:color w:val="auto"/>
                <w:szCs w:val="21"/>
                <w:highlight w:val="none"/>
                <w:u w:val="none"/>
                <w:lang w:val="en-US" w:eastAsia="zh-CN"/>
              </w:rPr>
              <w:t>评分指标</w:t>
            </w:r>
          </w:p>
        </w:tc>
        <w:tc>
          <w:tcPr>
            <w:tcW w:w="5165" w:type="dxa"/>
            <w:vAlign w:val="center"/>
          </w:tcPr>
          <w:p w14:paraId="538B47C8">
            <w:pPr>
              <w:jc w:val="center"/>
              <w:rPr>
                <w:rFonts w:hint="default" w:ascii="Times New Roman" w:hAnsi="Times New Roman" w:eastAsia="仿宋_GB2312" w:cs="Times New Roman"/>
                <w:b/>
                <w:bCs w:val="0"/>
                <w:color w:val="auto"/>
                <w:szCs w:val="21"/>
                <w:highlight w:val="none"/>
                <w:u w:val="none"/>
                <w:lang w:val="en-US" w:eastAsia="zh-CN"/>
              </w:rPr>
            </w:pPr>
            <w:r>
              <w:rPr>
                <w:rFonts w:hint="default" w:ascii="Times New Roman" w:hAnsi="Times New Roman" w:eastAsia="仿宋_GB2312" w:cs="Times New Roman"/>
                <w:b/>
                <w:bCs w:val="0"/>
                <w:color w:val="auto"/>
                <w:szCs w:val="21"/>
                <w:highlight w:val="none"/>
                <w:u w:val="none"/>
                <w:lang w:val="en-US" w:eastAsia="zh-CN"/>
              </w:rPr>
              <w:t>评分标准</w:t>
            </w:r>
          </w:p>
        </w:tc>
        <w:tc>
          <w:tcPr>
            <w:tcW w:w="3077" w:type="dxa"/>
            <w:vAlign w:val="center"/>
          </w:tcPr>
          <w:p w14:paraId="2499E6C4">
            <w:pPr>
              <w:jc w:val="center"/>
              <w:rPr>
                <w:rFonts w:hint="default" w:ascii="Times New Roman" w:hAnsi="Times New Roman" w:eastAsia="仿宋_GB2312" w:cs="Times New Roman"/>
                <w:b/>
                <w:bCs w:val="0"/>
                <w:color w:val="auto"/>
                <w:szCs w:val="21"/>
                <w:highlight w:val="none"/>
                <w:u w:val="none"/>
                <w:lang w:val="en-US" w:eastAsia="zh-CN"/>
              </w:rPr>
            </w:pPr>
            <w:r>
              <w:rPr>
                <w:rFonts w:hint="default" w:ascii="Times New Roman" w:hAnsi="Times New Roman" w:eastAsia="仿宋_GB2312" w:cs="Times New Roman"/>
                <w:b/>
                <w:bCs w:val="0"/>
                <w:color w:val="auto"/>
                <w:szCs w:val="21"/>
                <w:highlight w:val="none"/>
                <w:u w:val="none"/>
                <w:lang w:val="en-US" w:eastAsia="zh-CN"/>
              </w:rPr>
              <w:t>说明</w:t>
            </w:r>
          </w:p>
        </w:tc>
      </w:tr>
      <w:tr w14:paraId="3480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075" w:type="dxa"/>
            <w:shd w:val="clear" w:color="auto" w:fill="auto"/>
            <w:vAlign w:val="center"/>
          </w:tcPr>
          <w:p w14:paraId="0D9C416D">
            <w:pPr>
              <w:rPr>
                <w:rFonts w:hint="default" w:ascii="Times New Roman" w:hAnsi="Times New Roman" w:eastAsia="仿宋_GB2312" w:cs="Times New Roman"/>
                <w:b w:val="0"/>
                <w:bCs/>
                <w:color w:val="auto"/>
                <w:kern w:val="2"/>
                <w:sz w:val="21"/>
                <w:szCs w:val="24"/>
                <w:highlight w:val="none"/>
                <w:lang w:val="en-US" w:eastAsia="zh-CN" w:bidi="ar-SA"/>
                <w14:ligatures w14:val="standardContextual"/>
              </w:rPr>
            </w:pPr>
            <w:r>
              <w:rPr>
                <w:rFonts w:hint="default" w:ascii="Times New Roman" w:hAnsi="Times New Roman" w:eastAsia="仿宋_GB2312" w:cs="Times New Roman"/>
                <w:b w:val="0"/>
                <w:bCs/>
                <w:color w:val="auto"/>
                <w:highlight w:val="none"/>
                <w:lang w:val="en-US" w:eastAsia="zh-CN"/>
              </w:rPr>
              <w:t>业绩评分</w:t>
            </w:r>
          </w:p>
        </w:tc>
        <w:tc>
          <w:tcPr>
            <w:tcW w:w="5165" w:type="dxa"/>
            <w:shd w:val="clear" w:color="auto" w:fill="auto"/>
            <w:vAlign w:val="center"/>
          </w:tcPr>
          <w:p w14:paraId="5D6533E2">
            <w:pPr>
              <w:rPr>
                <w:rFonts w:hint="default" w:ascii="Times New Roman" w:hAnsi="Times New Roman" w:eastAsia="仿宋_GB2312" w:cs="Times New Roman"/>
                <w:b w:val="0"/>
                <w:bCs/>
                <w:color w:val="auto"/>
                <w:highlight w:val="none"/>
                <w:lang w:val="en-US" w:eastAsia="zh-CN"/>
              </w:rPr>
            </w:pPr>
            <w:r>
              <w:rPr>
                <w:rFonts w:hint="eastAsia" w:ascii="Times New Roman" w:hAnsi="Times New Roman" w:eastAsia="仿宋_GB2312" w:cs="Times New Roman"/>
                <w:b w:val="0"/>
                <w:bCs/>
                <w:color w:val="auto"/>
                <w:highlight w:val="none"/>
                <w:lang w:val="en-US" w:eastAsia="zh-CN"/>
              </w:rPr>
              <w:t>根据</w:t>
            </w:r>
            <w:r>
              <w:rPr>
                <w:rFonts w:hint="default" w:ascii="Times New Roman" w:hAnsi="Times New Roman" w:eastAsia="仿宋_GB2312" w:cs="Times New Roman"/>
                <w:b w:val="0"/>
                <w:bCs/>
                <w:color w:val="auto"/>
                <w:highlight w:val="none"/>
              </w:rPr>
              <w:t>202</w:t>
            </w:r>
            <w:r>
              <w:rPr>
                <w:rFonts w:hint="eastAsia" w:ascii="Times New Roman" w:hAnsi="Times New Roman" w:eastAsia="仿宋_GB2312" w:cs="Times New Roman"/>
                <w:b w:val="0"/>
                <w:bCs/>
                <w:color w:val="auto"/>
                <w:highlight w:val="none"/>
                <w:lang w:val="en-US" w:eastAsia="zh-CN"/>
              </w:rPr>
              <w:t>4</w:t>
            </w:r>
            <w:r>
              <w:rPr>
                <w:rFonts w:hint="default" w:ascii="Times New Roman" w:hAnsi="Times New Roman" w:eastAsia="仿宋_GB2312" w:cs="Times New Roman"/>
                <w:b w:val="0"/>
                <w:bCs/>
                <w:color w:val="auto"/>
                <w:highlight w:val="none"/>
              </w:rPr>
              <w:t>年在全国范围内承做的债券评级或者主体评级数量的排名</w:t>
            </w:r>
            <w:r>
              <w:rPr>
                <w:rFonts w:hint="default"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rPr>
              <w:t>以证券业协会与交易商协会联合发布的202</w:t>
            </w:r>
            <w:r>
              <w:rPr>
                <w:rFonts w:hint="eastAsia" w:ascii="Times New Roman" w:hAnsi="Times New Roman" w:eastAsia="仿宋_GB2312" w:cs="Times New Roman"/>
                <w:b w:val="0"/>
                <w:bCs/>
                <w:color w:val="auto"/>
                <w:highlight w:val="none"/>
                <w:lang w:eastAsia="zh-CN"/>
              </w:rPr>
              <w:t>4</w:t>
            </w:r>
            <w:r>
              <w:rPr>
                <w:rFonts w:hint="default" w:ascii="Times New Roman" w:hAnsi="Times New Roman" w:eastAsia="仿宋_GB2312" w:cs="Times New Roman"/>
                <w:b w:val="0"/>
                <w:bCs/>
                <w:color w:val="auto"/>
                <w:highlight w:val="none"/>
              </w:rPr>
              <w:t>年1</w:t>
            </w:r>
            <w:r>
              <w:rPr>
                <w:rFonts w:hint="eastAsia"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rPr>
              <w:t>4季度《债券市场信用评级机构业务运行及合规情况通报》数据为准</w:t>
            </w:r>
            <w:r>
              <w:rPr>
                <w:rFonts w:hint="default" w:ascii="Times New Roman" w:hAnsi="Times New Roman" w:eastAsia="仿宋_GB2312" w:cs="Times New Roman"/>
                <w:b w:val="0"/>
                <w:bCs/>
                <w:color w:val="auto"/>
                <w:highlight w:val="none"/>
                <w:lang w:eastAsia="zh-CN"/>
              </w:rPr>
              <w:t>）</w:t>
            </w:r>
            <w:r>
              <w:rPr>
                <w:rFonts w:hint="eastAsia" w:ascii="Times New Roman" w:hAnsi="Times New Roman" w:eastAsia="仿宋_GB2312" w:cs="Times New Roman"/>
                <w:b w:val="0"/>
                <w:bCs/>
                <w:color w:val="auto"/>
                <w:highlight w:val="none"/>
                <w:lang w:val="en-US" w:eastAsia="zh-CN"/>
              </w:rPr>
              <w:t>进行评分（每季度权重各25%）</w:t>
            </w:r>
          </w:p>
        </w:tc>
        <w:tc>
          <w:tcPr>
            <w:tcW w:w="3077" w:type="dxa"/>
            <w:vAlign w:val="center"/>
          </w:tcPr>
          <w:p w14:paraId="09800C61">
            <w:pPr>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bCs/>
                <w:color w:val="auto"/>
                <w:highlight w:val="none"/>
                <w:lang w:val="en-US" w:eastAsia="zh-CN"/>
              </w:rPr>
              <w:t>依照公开市场排名信息评分</w:t>
            </w:r>
            <w:r>
              <w:rPr>
                <w:rFonts w:hint="eastAsia" w:ascii="Times New Roman" w:hAnsi="Times New Roman" w:eastAsia="仿宋_GB2312" w:cs="Times New Roman"/>
                <w:b w:val="0"/>
                <w:bCs/>
                <w:color w:val="auto"/>
                <w:highlight w:val="none"/>
                <w:lang w:val="en-US" w:eastAsia="zh-CN"/>
              </w:rPr>
              <w:t>，查询路径：https://www.sac.net.cn/</w:t>
            </w:r>
            <w:r>
              <w:rPr>
                <w:rFonts w:hint="default" w:ascii="Times New Roman" w:hAnsi="Times New Roman" w:eastAsia="仿宋_GB2312" w:cs="Times New Roman"/>
                <w:b w:val="0"/>
                <w:bCs/>
                <w:color w:val="auto"/>
                <w:highlight w:val="none"/>
                <w:lang w:val="en-US" w:eastAsia="zh-CN"/>
              </w:rPr>
              <w:t>。</w:t>
            </w:r>
          </w:p>
        </w:tc>
      </w:tr>
      <w:tr w14:paraId="6F6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766B0CFE">
            <w:pPr>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bCs/>
                <w:color w:val="auto"/>
                <w:highlight w:val="none"/>
              </w:rPr>
              <w:t>服务</w:t>
            </w:r>
            <w:r>
              <w:rPr>
                <w:rFonts w:hint="default" w:ascii="Times New Roman" w:hAnsi="Times New Roman" w:eastAsia="仿宋_GB2312" w:cs="Times New Roman"/>
                <w:b w:val="0"/>
                <w:bCs/>
                <w:color w:val="auto"/>
                <w:highlight w:val="none"/>
                <w:lang w:val="en-US" w:eastAsia="zh-CN"/>
              </w:rPr>
              <w:t>评分</w:t>
            </w:r>
          </w:p>
        </w:tc>
        <w:tc>
          <w:tcPr>
            <w:tcW w:w="5165" w:type="dxa"/>
            <w:vAlign w:val="center"/>
          </w:tcPr>
          <w:p w14:paraId="5AAFF319">
            <w:pPr>
              <w:rPr>
                <w:rFonts w:hint="default" w:ascii="Times New Roman" w:hAnsi="Times New Roman" w:eastAsia="仿宋_GB2312" w:cs="Times New Roman"/>
                <w:b w:val="0"/>
                <w:bCs/>
                <w:color w:val="auto"/>
                <w:highlight w:val="none"/>
                <w:lang w:eastAsia="zh-CN"/>
              </w:rPr>
            </w:pPr>
            <w:r>
              <w:rPr>
                <w:rFonts w:hint="default" w:ascii="Times New Roman" w:hAnsi="Times New Roman" w:eastAsia="仿宋_GB2312" w:cs="Times New Roman"/>
                <w:b w:val="0"/>
                <w:bCs/>
                <w:color w:val="auto"/>
                <w:highlight w:val="none"/>
                <w:lang w:eastAsia="zh-CN"/>
              </w:rPr>
              <w:t>服务方案应涵盖基础服务、增值服务和团队配置等内容。其中：</w:t>
            </w:r>
            <w:r>
              <w:rPr>
                <w:rFonts w:hint="default" w:ascii="Times New Roman" w:hAnsi="Times New Roman" w:eastAsia="仿宋_GB2312" w:cs="Times New Roman"/>
                <w:b/>
                <w:bCs w:val="0"/>
                <w:color w:val="auto"/>
                <w:highlight w:val="none"/>
                <w:lang w:eastAsia="zh-CN"/>
              </w:rPr>
              <w:t>基础服务</w:t>
            </w:r>
            <w:r>
              <w:rPr>
                <w:rFonts w:hint="default" w:ascii="Times New Roman" w:hAnsi="Times New Roman" w:eastAsia="仿宋_GB2312" w:cs="Times New Roman"/>
                <w:b w:val="0"/>
                <w:bCs/>
                <w:color w:val="auto"/>
                <w:highlight w:val="none"/>
                <w:lang w:eastAsia="zh-CN"/>
              </w:rPr>
              <w:t>应针对金控行业特性，包括流程设计、跟踪安排、质量控制、沟通机制、团队配置、风险预案及绿色通道安排等方面内容，并对项目实施过程中的难点问题进行分析与提出应对措施；</w:t>
            </w:r>
            <w:r>
              <w:rPr>
                <w:rFonts w:hint="default" w:ascii="Times New Roman" w:hAnsi="Times New Roman" w:eastAsia="仿宋_GB2312" w:cs="Times New Roman"/>
                <w:b/>
                <w:bCs w:val="0"/>
                <w:color w:val="auto"/>
                <w:highlight w:val="none"/>
                <w:lang w:eastAsia="zh-CN"/>
              </w:rPr>
              <w:t>增值服务</w:t>
            </w:r>
            <w:r>
              <w:rPr>
                <w:rFonts w:hint="default" w:ascii="Times New Roman" w:hAnsi="Times New Roman" w:eastAsia="仿宋_GB2312" w:cs="Times New Roman"/>
                <w:b w:val="0"/>
                <w:bCs/>
                <w:color w:val="auto"/>
                <w:highlight w:val="none"/>
                <w:lang w:eastAsia="zh-CN"/>
              </w:rPr>
              <w:t>包括但不限于战略性同业交流与市场洞察、定制化能力提升培训、持续性评级咨询与顾问服务等；</w:t>
            </w:r>
            <w:r>
              <w:rPr>
                <w:rFonts w:hint="default" w:ascii="Times New Roman" w:hAnsi="Times New Roman" w:eastAsia="仿宋_GB2312" w:cs="Times New Roman"/>
                <w:b/>
                <w:bCs w:val="0"/>
                <w:color w:val="auto"/>
                <w:highlight w:val="none"/>
                <w:lang w:eastAsia="zh-CN"/>
              </w:rPr>
              <w:t>团队配置</w:t>
            </w:r>
            <w:r>
              <w:rPr>
                <w:rFonts w:hint="default" w:ascii="Times New Roman" w:hAnsi="Times New Roman" w:eastAsia="仿宋_GB2312" w:cs="Times New Roman"/>
                <w:b w:val="0"/>
                <w:bCs/>
                <w:color w:val="auto"/>
                <w:highlight w:val="none"/>
                <w:lang w:eastAsia="zh-CN"/>
              </w:rPr>
              <w:t>包括项目负责人</w:t>
            </w:r>
            <w:r>
              <w:rPr>
                <w:rFonts w:hint="eastAsia" w:ascii="Times New Roman" w:hAnsi="Times New Roman" w:eastAsia="仿宋_GB2312" w:cs="Times New Roman"/>
                <w:b w:val="0"/>
                <w:bCs/>
                <w:color w:val="auto"/>
                <w:highlight w:val="none"/>
                <w:lang w:val="en-US" w:eastAsia="zh-CN"/>
              </w:rPr>
              <w:t>的</w:t>
            </w:r>
            <w:r>
              <w:rPr>
                <w:rFonts w:hint="default" w:ascii="Times New Roman" w:hAnsi="Times New Roman" w:eastAsia="仿宋_GB2312" w:cs="Times New Roman"/>
                <w:b w:val="0"/>
                <w:bCs/>
                <w:color w:val="auto"/>
                <w:highlight w:val="none"/>
                <w:lang w:eastAsia="zh-CN"/>
              </w:rPr>
              <w:t>评级工作业绩、</w:t>
            </w:r>
            <w:r>
              <w:rPr>
                <w:rFonts w:hint="eastAsia" w:ascii="Times New Roman" w:hAnsi="Times New Roman" w:eastAsia="仿宋_GB2312" w:cs="Times New Roman"/>
                <w:b w:val="0"/>
                <w:bCs/>
                <w:color w:val="auto"/>
                <w:highlight w:val="none"/>
                <w:lang w:val="en-US" w:eastAsia="zh-CN"/>
              </w:rPr>
              <w:t>评级</w:t>
            </w:r>
            <w:r>
              <w:rPr>
                <w:rFonts w:hint="default" w:ascii="Times New Roman" w:hAnsi="Times New Roman" w:eastAsia="仿宋_GB2312" w:cs="Times New Roman"/>
                <w:b w:val="0"/>
                <w:bCs/>
                <w:color w:val="auto"/>
                <w:highlight w:val="none"/>
                <w:lang w:eastAsia="zh-CN"/>
              </w:rPr>
              <w:t>案例情况</w:t>
            </w:r>
            <w:r>
              <w:rPr>
                <w:rFonts w:hint="eastAsia" w:ascii="Times New Roman" w:hAnsi="Times New Roman" w:eastAsia="仿宋_GB2312" w:cs="Times New Roman"/>
                <w:bCs/>
                <w:color w:val="auto"/>
                <w:highlight w:val="none"/>
                <w:lang w:val="en-US" w:eastAsia="zh-CN"/>
              </w:rPr>
              <w:t>（包括项目时间、项目名称和担任的角色）</w:t>
            </w:r>
            <w:r>
              <w:rPr>
                <w:rFonts w:hint="default" w:ascii="Times New Roman" w:hAnsi="Times New Roman" w:eastAsia="仿宋_GB2312" w:cs="Times New Roman"/>
                <w:b w:val="0"/>
                <w:bCs/>
                <w:color w:val="auto"/>
                <w:highlight w:val="none"/>
                <w:lang w:eastAsia="zh-CN"/>
              </w:rPr>
              <w:t>，以及派驻现场服务团队人数和人员构成情况。</w:t>
            </w:r>
          </w:p>
          <w:p w14:paraId="30CAA718">
            <w:pPr>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bCs/>
                <w:color w:val="auto"/>
                <w:highlight w:val="none"/>
                <w:lang w:eastAsia="zh-CN"/>
              </w:rPr>
              <w:t>1.</w:t>
            </w:r>
            <w:r>
              <w:rPr>
                <w:rFonts w:hint="eastAsia" w:ascii="Times New Roman" w:hAnsi="Times New Roman" w:eastAsia="仿宋_GB2312" w:cs="Times New Roman"/>
                <w:b w:val="0"/>
                <w:bCs/>
                <w:color w:val="auto"/>
                <w:highlight w:val="none"/>
                <w:lang w:val="en-US" w:eastAsia="zh-CN"/>
              </w:rPr>
              <w:t>根据基础服务和增值服务的内容分三档进行评分</w:t>
            </w:r>
          </w:p>
          <w:p w14:paraId="724A383F">
            <w:pPr>
              <w:rPr>
                <w:rFonts w:hint="default" w:ascii="Times New Roman" w:hAnsi="Times New Roman" w:eastAsia="仿宋_GB2312" w:cs="Times New Roman"/>
                <w:b w:val="0"/>
                <w:bCs/>
                <w:color w:val="auto"/>
                <w:highlight w:val="none"/>
                <w:lang w:eastAsia="zh-CN"/>
              </w:rPr>
            </w:pPr>
            <w:r>
              <w:rPr>
                <w:rFonts w:hint="default" w:ascii="Times New Roman" w:hAnsi="Times New Roman" w:eastAsia="仿宋_GB2312" w:cs="Times New Roman"/>
                <w:b w:val="0"/>
                <w:bCs/>
                <w:color w:val="auto"/>
                <w:highlight w:val="none"/>
                <w:lang w:eastAsia="zh-CN"/>
              </w:rPr>
              <w:t>2.</w:t>
            </w:r>
            <w:r>
              <w:rPr>
                <w:rFonts w:hint="eastAsia" w:ascii="Times New Roman" w:hAnsi="Times New Roman" w:eastAsia="仿宋_GB2312" w:cs="Times New Roman"/>
                <w:b w:val="0"/>
                <w:bCs/>
                <w:color w:val="auto"/>
                <w:highlight w:val="none"/>
                <w:lang w:val="en-US" w:eastAsia="zh-CN"/>
              </w:rPr>
              <w:t>根据</w:t>
            </w:r>
            <w:r>
              <w:rPr>
                <w:rFonts w:hint="default" w:ascii="Times New Roman" w:hAnsi="Times New Roman" w:eastAsia="仿宋_GB2312" w:cs="Times New Roman"/>
                <w:b w:val="0"/>
                <w:bCs/>
                <w:color w:val="auto"/>
                <w:highlight w:val="none"/>
                <w:lang w:eastAsia="zh-CN"/>
              </w:rPr>
              <w:t>团队配置</w:t>
            </w:r>
            <w:r>
              <w:rPr>
                <w:rFonts w:hint="eastAsia" w:ascii="Times New Roman" w:hAnsi="Times New Roman" w:eastAsia="仿宋_GB2312" w:cs="Times New Roman"/>
                <w:b w:val="0"/>
                <w:bCs/>
                <w:color w:val="auto"/>
                <w:highlight w:val="none"/>
                <w:lang w:val="en-US" w:eastAsia="zh-CN"/>
              </w:rPr>
              <w:t>进行评</w:t>
            </w:r>
            <w:r>
              <w:rPr>
                <w:rFonts w:hint="default" w:ascii="Times New Roman" w:hAnsi="Times New Roman" w:eastAsia="仿宋_GB2312" w:cs="Times New Roman"/>
                <w:b w:val="0"/>
                <w:bCs/>
                <w:color w:val="auto"/>
                <w:highlight w:val="none"/>
                <w:lang w:eastAsia="zh-CN"/>
              </w:rPr>
              <w:t>分</w:t>
            </w:r>
          </w:p>
          <w:p w14:paraId="271521C6">
            <w:pPr>
              <w:rPr>
                <w:rFonts w:hint="default" w:ascii="Times New Roman" w:hAnsi="Times New Roman" w:eastAsia="仿宋_GB2312" w:cs="Times New Roman"/>
                <w:b w:val="0"/>
                <w:bCs/>
                <w:color w:val="auto"/>
                <w:highlight w:val="none"/>
                <w:lang w:eastAsia="zh-CN"/>
              </w:rPr>
            </w:pPr>
            <w:r>
              <w:rPr>
                <w:rFonts w:hint="default" w:ascii="Times New Roman" w:hAnsi="Times New Roman" w:eastAsia="仿宋_GB2312" w:cs="Times New Roman"/>
                <w:b w:val="0"/>
                <w:bCs/>
                <w:color w:val="auto"/>
                <w:highlight w:val="none"/>
                <w:lang w:eastAsia="zh-CN"/>
              </w:rPr>
              <w:t xml:space="preserve"> - 项目负责人具有丰富债券评级经验</w:t>
            </w:r>
            <w:r>
              <w:rPr>
                <w:rFonts w:hint="eastAsia" w:ascii="Times New Roman" w:hAnsi="Times New Roman" w:eastAsia="仿宋_GB2312" w:cs="Times New Roman"/>
                <w:b w:val="0"/>
                <w:bCs/>
                <w:color w:val="auto"/>
                <w:highlight w:val="none"/>
                <w:lang w:eastAsia="zh-CN"/>
              </w:rPr>
              <w:t>：</w:t>
            </w:r>
            <w:r>
              <w:rPr>
                <w:rFonts w:hint="eastAsia" w:ascii="Times New Roman" w:hAnsi="Times New Roman" w:eastAsia="仿宋_GB2312" w:cs="Times New Roman"/>
                <w:b w:val="0"/>
                <w:bCs/>
                <w:color w:val="auto"/>
                <w:highlight w:val="none"/>
                <w:lang w:val="en-US" w:eastAsia="zh-CN"/>
              </w:rPr>
              <w:t>按评级案例数量分三档进行评分【担任项目一般成员的评级案例除外】</w:t>
            </w:r>
            <w:r>
              <w:rPr>
                <w:rFonts w:hint="default" w:ascii="Times New Roman" w:hAnsi="Times New Roman" w:eastAsia="仿宋_GB2312" w:cs="Times New Roman"/>
                <w:b w:val="0"/>
                <w:bCs/>
                <w:color w:val="auto"/>
                <w:highlight w:val="none"/>
                <w:lang w:eastAsia="zh-CN"/>
              </w:rPr>
              <w:t>；</w:t>
            </w:r>
          </w:p>
          <w:p w14:paraId="4464A7F3">
            <w:pPr>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bCs/>
                <w:color w:val="auto"/>
                <w:highlight w:val="none"/>
                <w:lang w:eastAsia="zh-CN"/>
              </w:rPr>
              <w:t xml:space="preserve"> - 派驻</w:t>
            </w:r>
            <w:r>
              <w:rPr>
                <w:rFonts w:hint="eastAsia" w:ascii="Times New Roman" w:hAnsi="Times New Roman" w:eastAsia="仿宋_GB2312" w:cs="Times New Roman"/>
                <w:b w:val="0"/>
                <w:bCs/>
                <w:color w:val="auto"/>
                <w:highlight w:val="none"/>
                <w:lang w:val="en-US" w:eastAsia="zh-CN"/>
              </w:rPr>
              <w:t>现场</w:t>
            </w:r>
            <w:r>
              <w:rPr>
                <w:rFonts w:hint="default" w:ascii="Times New Roman" w:hAnsi="Times New Roman" w:eastAsia="仿宋_GB2312" w:cs="Times New Roman"/>
                <w:b w:val="0"/>
                <w:bCs/>
                <w:color w:val="auto"/>
                <w:highlight w:val="none"/>
                <w:lang w:eastAsia="zh-CN"/>
              </w:rPr>
              <w:t>服务团队，及时响应</w:t>
            </w:r>
            <w:r>
              <w:rPr>
                <w:rFonts w:hint="eastAsia" w:ascii="Times New Roman" w:hAnsi="Times New Roman" w:eastAsia="仿宋_GB2312" w:cs="Times New Roman"/>
                <w:b w:val="0"/>
                <w:bCs/>
                <w:color w:val="auto"/>
                <w:highlight w:val="none"/>
                <w:lang w:val="en-US" w:eastAsia="zh-CN"/>
              </w:rPr>
              <w:t>项目</w:t>
            </w:r>
            <w:r>
              <w:rPr>
                <w:rFonts w:hint="default" w:ascii="Times New Roman" w:hAnsi="Times New Roman" w:eastAsia="仿宋_GB2312" w:cs="Times New Roman"/>
                <w:b w:val="0"/>
                <w:bCs/>
                <w:color w:val="auto"/>
                <w:highlight w:val="none"/>
                <w:lang w:eastAsia="zh-CN"/>
              </w:rPr>
              <w:t>现场需求</w:t>
            </w:r>
            <w:r>
              <w:rPr>
                <w:rFonts w:hint="eastAsia" w:ascii="Times New Roman" w:hAnsi="Times New Roman" w:eastAsia="仿宋_GB2312" w:cs="Times New Roman"/>
                <w:b w:val="0"/>
                <w:bCs/>
                <w:color w:val="auto"/>
                <w:highlight w:val="none"/>
                <w:lang w:eastAsia="zh-CN"/>
              </w:rPr>
              <w:t>：</w:t>
            </w:r>
            <w:r>
              <w:rPr>
                <w:rFonts w:hint="eastAsia" w:ascii="Times New Roman" w:hAnsi="Times New Roman" w:eastAsia="仿宋_GB2312" w:cs="Times New Roman"/>
                <w:b w:val="0"/>
                <w:bCs/>
                <w:color w:val="auto"/>
                <w:highlight w:val="none"/>
                <w:lang w:val="en-US" w:eastAsia="zh-CN"/>
              </w:rPr>
              <w:t>按</w:t>
            </w:r>
            <w:r>
              <w:rPr>
                <w:rFonts w:hint="default" w:ascii="Times New Roman" w:hAnsi="Times New Roman" w:eastAsia="仿宋_GB2312" w:cs="Times New Roman"/>
                <w:b w:val="0"/>
                <w:bCs/>
                <w:color w:val="auto"/>
                <w:highlight w:val="none"/>
                <w:lang w:eastAsia="zh-CN"/>
              </w:rPr>
              <w:t>现场人数</w:t>
            </w:r>
            <w:r>
              <w:rPr>
                <w:rFonts w:hint="eastAsia" w:ascii="Times New Roman" w:hAnsi="Times New Roman" w:eastAsia="仿宋_GB2312" w:cs="Times New Roman"/>
                <w:b w:val="0"/>
                <w:bCs/>
                <w:color w:val="auto"/>
                <w:highlight w:val="none"/>
                <w:lang w:val="en-US" w:eastAsia="zh-CN"/>
              </w:rPr>
              <w:t>分两档进行评分</w:t>
            </w:r>
          </w:p>
        </w:tc>
        <w:tc>
          <w:tcPr>
            <w:tcW w:w="3077" w:type="dxa"/>
            <w:vAlign w:val="center"/>
          </w:tcPr>
          <w:p w14:paraId="5E5960F8">
            <w:pPr>
              <w:rPr>
                <w:rFonts w:hint="default" w:ascii="Times New Roman" w:hAnsi="Times New Roman" w:eastAsia="仿宋_GB2312" w:cs="Times New Roman"/>
                <w:b w:val="0"/>
                <w:bCs/>
                <w:color w:val="auto"/>
                <w:highlight w:val="none"/>
              </w:rPr>
            </w:pPr>
            <w:r>
              <w:rPr>
                <w:rFonts w:hint="default" w:ascii="Times New Roman" w:hAnsi="Times New Roman" w:eastAsia="仿宋_GB2312" w:cs="Times New Roman"/>
                <w:b w:val="0"/>
                <w:bCs/>
                <w:color w:val="auto"/>
                <w:highlight w:val="none"/>
              </w:rPr>
              <w:t>依照</w:t>
            </w:r>
            <w:r>
              <w:rPr>
                <w:rFonts w:hint="default" w:ascii="Times New Roman" w:hAnsi="Times New Roman" w:eastAsia="仿宋_GB2312" w:cs="Times New Roman"/>
                <w:b w:val="0"/>
                <w:bCs/>
                <w:color w:val="auto"/>
                <w:highlight w:val="none"/>
                <w:lang w:val="en-US" w:eastAsia="zh-CN"/>
              </w:rPr>
              <w:t>响应</w:t>
            </w:r>
            <w:r>
              <w:rPr>
                <w:rFonts w:hint="default" w:ascii="Times New Roman" w:hAnsi="Times New Roman" w:eastAsia="仿宋_GB2312" w:cs="Times New Roman"/>
                <w:b w:val="0"/>
                <w:bCs/>
                <w:color w:val="auto"/>
                <w:highlight w:val="none"/>
              </w:rPr>
              <w:t>人所提供的相关资料和方案进行评分。</w:t>
            </w:r>
          </w:p>
        </w:tc>
      </w:tr>
      <w:tr w14:paraId="53C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75" w:type="dxa"/>
            <w:shd w:val="clear" w:color="auto" w:fill="auto"/>
            <w:vAlign w:val="center"/>
          </w:tcPr>
          <w:p w14:paraId="598B01C7">
            <w:pPr>
              <w:rPr>
                <w:rFonts w:hint="default" w:ascii="Times New Roman" w:hAnsi="Times New Roman" w:eastAsia="仿宋_GB2312" w:cs="Times New Roman"/>
                <w:b w:val="0"/>
                <w:bCs/>
                <w:color w:val="auto"/>
                <w:kern w:val="2"/>
                <w:sz w:val="21"/>
                <w:szCs w:val="24"/>
                <w:highlight w:val="none"/>
                <w:lang w:val="en-US" w:eastAsia="zh-CN" w:bidi="ar-SA"/>
                <w14:ligatures w14:val="standardContextual"/>
              </w:rPr>
            </w:pPr>
            <w:r>
              <w:rPr>
                <w:rFonts w:hint="default" w:ascii="Times New Roman" w:hAnsi="Times New Roman" w:eastAsia="仿宋_GB2312" w:cs="Times New Roman"/>
                <w:b w:val="0"/>
                <w:bCs/>
                <w:color w:val="auto"/>
                <w:highlight w:val="none"/>
              </w:rPr>
              <w:t>价格</w:t>
            </w:r>
            <w:r>
              <w:rPr>
                <w:rFonts w:hint="default" w:ascii="Times New Roman" w:hAnsi="Times New Roman" w:eastAsia="仿宋_GB2312" w:cs="Times New Roman"/>
                <w:b w:val="0"/>
                <w:bCs/>
                <w:color w:val="auto"/>
                <w:highlight w:val="none"/>
                <w:lang w:val="en-US" w:eastAsia="zh-CN"/>
              </w:rPr>
              <w:t>评分</w:t>
            </w:r>
          </w:p>
        </w:tc>
        <w:tc>
          <w:tcPr>
            <w:tcW w:w="5165" w:type="dxa"/>
            <w:shd w:val="clear" w:color="auto" w:fill="auto"/>
            <w:vAlign w:val="center"/>
          </w:tcPr>
          <w:p w14:paraId="281AB824">
            <w:pPr>
              <w:rPr>
                <w:rFonts w:hint="default" w:ascii="Times New Roman" w:hAnsi="Times New Roman" w:eastAsia="仿宋_GB2312" w:cs="Times New Roman"/>
                <w:b w:val="0"/>
                <w:bCs/>
                <w:color w:val="auto"/>
                <w:highlight w:val="none"/>
              </w:rPr>
            </w:pPr>
            <w:r>
              <w:rPr>
                <w:rFonts w:hint="default" w:ascii="Times New Roman" w:hAnsi="Times New Roman" w:eastAsia="仿宋_GB2312" w:cs="Times New Roman"/>
                <w:b w:val="0"/>
                <w:bCs/>
                <w:color w:val="auto"/>
                <w:highlight w:val="none"/>
              </w:rPr>
              <w:t>1. 报价形式：</w:t>
            </w:r>
            <w:r>
              <w:rPr>
                <w:rFonts w:hint="default" w:ascii="Times New Roman" w:hAnsi="Times New Roman" w:eastAsia="仿宋_GB2312" w:cs="Times New Roman"/>
                <w:bCs/>
                <w:color w:val="auto"/>
                <w:highlight w:val="none"/>
              </w:rPr>
              <w:t>响应人按主体评级和债项评级两个服务项目分别报价</w:t>
            </w:r>
            <w:r>
              <w:rPr>
                <w:rFonts w:hint="eastAsia" w:ascii="Times New Roman" w:hAnsi="Times New Roman" w:eastAsia="仿宋_GB2312" w:cs="Times New Roman"/>
                <w:bCs/>
                <w:color w:val="auto"/>
                <w:highlight w:val="none"/>
                <w:lang w:eastAsia="zh-CN"/>
              </w:rPr>
              <w:t>；</w:t>
            </w:r>
            <w:r>
              <w:rPr>
                <w:rFonts w:hint="default" w:ascii="Times New Roman" w:hAnsi="Times New Roman" w:eastAsia="仿宋_GB2312" w:cs="Times New Roman"/>
                <w:b w:val="0"/>
                <w:bCs/>
                <w:color w:val="auto"/>
                <w:highlight w:val="none"/>
              </w:rPr>
              <w:t>以包干价报价（含</w:t>
            </w:r>
            <w:r>
              <w:rPr>
                <w:rFonts w:hint="eastAsia" w:ascii="Times New Roman" w:hAnsi="Times New Roman" w:eastAsia="仿宋_GB2312" w:cs="Times New Roman"/>
                <w:b w:val="0"/>
                <w:bCs/>
                <w:color w:val="auto"/>
                <w:highlight w:val="none"/>
                <w:lang w:val="en-US" w:eastAsia="zh-CN"/>
              </w:rPr>
              <w:t>三</w:t>
            </w:r>
            <w:r>
              <w:rPr>
                <w:rFonts w:hint="default" w:ascii="Times New Roman" w:hAnsi="Times New Roman" w:eastAsia="仿宋_GB2312" w:cs="Times New Roman"/>
                <w:b w:val="0"/>
                <w:bCs/>
                <w:color w:val="auto"/>
                <w:highlight w:val="none"/>
                <w:lang w:val="en-US" w:eastAsia="zh-CN"/>
              </w:rPr>
              <w:t>年主体评级费用</w:t>
            </w:r>
            <w:r>
              <w:rPr>
                <w:rFonts w:hint="default" w:ascii="Times New Roman" w:hAnsi="Times New Roman" w:eastAsia="仿宋_GB2312" w:cs="Times New Roman"/>
                <w:b w:val="0"/>
                <w:bCs/>
                <w:color w:val="auto"/>
                <w:highlight w:val="none"/>
              </w:rPr>
              <w:t>、</w:t>
            </w:r>
            <w:r>
              <w:rPr>
                <w:rFonts w:hint="default" w:ascii="Times New Roman" w:hAnsi="Times New Roman" w:eastAsia="仿宋_GB2312" w:cs="Times New Roman"/>
                <w:b w:val="0"/>
                <w:bCs/>
                <w:color w:val="auto"/>
                <w:highlight w:val="none"/>
                <w:lang w:val="en-US" w:eastAsia="zh-CN"/>
              </w:rPr>
              <w:t>首个批文的</w:t>
            </w:r>
            <w:r>
              <w:rPr>
                <w:rFonts w:hint="default" w:ascii="Times New Roman" w:hAnsi="Times New Roman" w:eastAsia="仿宋_GB2312" w:cs="Times New Roman"/>
                <w:b w:val="0"/>
                <w:bCs/>
                <w:color w:val="auto"/>
                <w:highlight w:val="none"/>
                <w:lang w:eastAsia="zh-CN"/>
              </w:rPr>
              <w:t>债项评级</w:t>
            </w:r>
            <w:r>
              <w:rPr>
                <w:rFonts w:hint="eastAsia" w:ascii="Times New Roman" w:hAnsi="Times New Roman" w:eastAsia="仿宋_GB2312" w:cs="Times New Roman"/>
                <w:b w:val="0"/>
                <w:bCs/>
                <w:color w:val="auto"/>
                <w:highlight w:val="none"/>
                <w:lang w:val="en-US" w:eastAsia="zh-CN"/>
              </w:rPr>
              <w:t>费用（包括债项评级、跟</w:t>
            </w:r>
            <w:r>
              <w:rPr>
                <w:rFonts w:hint="default" w:ascii="Times New Roman" w:hAnsi="Times New Roman" w:eastAsia="仿宋_GB2312" w:cs="Times New Roman"/>
                <w:b w:val="0"/>
                <w:bCs/>
                <w:color w:val="auto"/>
                <w:highlight w:val="none"/>
                <w:lang w:eastAsia="zh-CN"/>
              </w:rPr>
              <w:t>踪评级</w:t>
            </w:r>
            <w:r>
              <w:rPr>
                <w:rFonts w:hint="eastAsia"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lang w:eastAsia="zh-CN"/>
              </w:rPr>
              <w:t>数据更新</w:t>
            </w:r>
            <w:r>
              <w:rPr>
                <w:rFonts w:hint="eastAsia"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lang w:eastAsia="zh-CN"/>
              </w:rPr>
              <w:t>分期发行</w:t>
            </w:r>
            <w:r>
              <w:rPr>
                <w:rFonts w:hint="eastAsia"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lang w:val="en-US" w:eastAsia="zh-CN"/>
              </w:rPr>
              <w:t>、</w:t>
            </w:r>
            <w:r>
              <w:rPr>
                <w:rFonts w:hint="eastAsia" w:ascii="Times New Roman" w:hAnsi="Times New Roman" w:eastAsia="仿宋_GB2312" w:cs="Times New Roman"/>
                <w:b w:val="0"/>
                <w:bCs/>
                <w:color w:val="auto"/>
                <w:highlight w:val="none"/>
                <w:lang w:val="en-US" w:eastAsia="zh-CN"/>
              </w:rPr>
              <w:t>以及由此产生的</w:t>
            </w:r>
            <w:r>
              <w:rPr>
                <w:rFonts w:hint="default" w:ascii="Times New Roman" w:hAnsi="Times New Roman" w:eastAsia="仿宋_GB2312" w:cs="Times New Roman"/>
                <w:b w:val="0"/>
                <w:bCs/>
                <w:color w:val="auto"/>
                <w:highlight w:val="none"/>
              </w:rPr>
              <w:t>差旅费、税费等所有费用），未包干则报价无效；</w:t>
            </w:r>
          </w:p>
          <w:p w14:paraId="33030930">
            <w:pPr>
              <w:rPr>
                <w:rFonts w:hint="default" w:ascii="Times New Roman" w:hAnsi="Times New Roman" w:eastAsia="仿宋_GB2312" w:cs="Times New Roman"/>
                <w:b w:val="0"/>
                <w:bCs/>
                <w:color w:val="auto"/>
                <w:kern w:val="2"/>
                <w:sz w:val="21"/>
                <w:szCs w:val="24"/>
                <w:highlight w:val="none"/>
                <w:lang w:val="en-US" w:eastAsia="zh-CN" w:bidi="ar-SA"/>
                <w14:ligatures w14:val="standardContextual"/>
              </w:rPr>
            </w:pPr>
            <w:r>
              <w:rPr>
                <w:rFonts w:hint="default" w:ascii="Times New Roman" w:hAnsi="Times New Roman" w:eastAsia="仿宋_GB2312" w:cs="Times New Roman"/>
                <w:b w:val="0"/>
                <w:bCs/>
                <w:color w:val="auto"/>
                <w:highlight w:val="none"/>
              </w:rPr>
              <w:t xml:space="preserve">2. </w:t>
            </w:r>
            <w:r>
              <w:rPr>
                <w:rFonts w:hint="eastAsia" w:ascii="Times New Roman" w:hAnsi="Times New Roman" w:eastAsia="仿宋_GB2312" w:cs="Times New Roman"/>
                <w:b w:val="0"/>
                <w:bCs/>
                <w:color w:val="auto"/>
                <w:highlight w:val="none"/>
                <w:lang w:val="en-US" w:eastAsia="zh-CN"/>
              </w:rPr>
              <w:t>三年主体评级和债项评级价格均</w:t>
            </w:r>
            <w:r>
              <w:rPr>
                <w:rFonts w:hint="eastAsia" w:ascii="Times New Roman" w:hAnsi="Times New Roman" w:eastAsia="仿宋_GB2312" w:cs="Times New Roman"/>
                <w:bCs/>
                <w:color w:val="auto"/>
                <w:highlight w:val="none"/>
                <w:lang w:val="en-US" w:eastAsia="zh-CN"/>
              </w:rPr>
              <w:t>按</w:t>
            </w:r>
            <w:r>
              <w:rPr>
                <w:rFonts w:hint="default" w:ascii="Times New Roman" w:hAnsi="Times New Roman" w:eastAsia="仿宋_GB2312" w:cs="Times New Roman"/>
                <w:bCs/>
                <w:color w:val="auto"/>
                <w:highlight w:val="none"/>
              </w:rPr>
              <w:t xml:space="preserve"> “报价偏离基准价的程度” </w:t>
            </w:r>
            <w:r>
              <w:rPr>
                <w:rFonts w:hint="eastAsia" w:ascii="Times New Roman" w:hAnsi="Times New Roman" w:eastAsia="仿宋_GB2312" w:cs="Times New Roman"/>
                <w:bCs/>
                <w:color w:val="auto"/>
                <w:highlight w:val="none"/>
                <w:lang w:val="en-US" w:eastAsia="zh-CN"/>
              </w:rPr>
              <w:t>进行评分</w:t>
            </w:r>
            <w:r>
              <w:rPr>
                <w:rFonts w:hint="default" w:ascii="Times New Roman" w:hAnsi="Times New Roman" w:eastAsia="仿宋_GB2312" w:cs="Times New Roman"/>
                <w:bCs/>
                <w:color w:val="auto"/>
                <w:highlight w:val="none"/>
              </w:rPr>
              <w:t>，偏离越小</w:t>
            </w:r>
            <w:r>
              <w:rPr>
                <w:rFonts w:hint="eastAsia" w:ascii="Times New Roman" w:hAnsi="Times New Roman" w:eastAsia="仿宋_GB2312" w:cs="Times New Roman"/>
                <w:bCs/>
                <w:color w:val="auto"/>
                <w:highlight w:val="none"/>
                <w:lang w:val="en-US" w:eastAsia="zh-CN"/>
              </w:rPr>
              <w:t>排名</w:t>
            </w:r>
            <w:r>
              <w:rPr>
                <w:rFonts w:hint="default" w:ascii="Times New Roman" w:hAnsi="Times New Roman" w:eastAsia="仿宋_GB2312" w:cs="Times New Roman"/>
                <w:bCs/>
                <w:color w:val="auto"/>
                <w:highlight w:val="none"/>
              </w:rPr>
              <w:t>越</w:t>
            </w:r>
            <w:r>
              <w:rPr>
                <w:rFonts w:hint="eastAsia" w:ascii="Times New Roman" w:hAnsi="Times New Roman" w:eastAsia="仿宋_GB2312" w:cs="Times New Roman"/>
                <w:bCs/>
                <w:color w:val="auto"/>
                <w:highlight w:val="none"/>
                <w:lang w:val="en-US" w:eastAsia="zh-CN"/>
              </w:rPr>
              <w:t>靠前，得分越高</w:t>
            </w:r>
            <w:r>
              <w:rPr>
                <w:rFonts w:hint="eastAsia" w:ascii="Times New Roman" w:hAnsi="Times New Roman" w:eastAsia="仿宋_GB2312" w:cs="Times New Roman"/>
                <w:b w:val="0"/>
                <w:bCs/>
                <w:color w:val="auto"/>
                <w:highlight w:val="none"/>
                <w:lang w:val="en-US" w:eastAsia="zh-CN"/>
              </w:rPr>
              <w:t>；</w:t>
            </w:r>
            <w:r>
              <w:rPr>
                <w:rFonts w:hint="eastAsia" w:ascii="Times New Roman" w:hAnsi="Times New Roman" w:eastAsia="仿宋_GB2312" w:cs="Times New Roman"/>
                <w:bCs/>
                <w:color w:val="auto"/>
                <w:highlight w:val="none"/>
              </w:rPr>
              <w:t>比选基准价以</w:t>
            </w:r>
            <w:r>
              <w:rPr>
                <w:rFonts w:hint="eastAsia" w:ascii="Times New Roman" w:hAnsi="Times New Roman" w:eastAsia="仿宋_GB2312" w:cs="Times New Roman"/>
                <w:bCs/>
                <w:color w:val="auto"/>
                <w:highlight w:val="none"/>
                <w:lang w:val="en-US" w:eastAsia="zh-CN"/>
              </w:rPr>
              <w:t>所对应的服务</w:t>
            </w:r>
            <w:r>
              <w:rPr>
                <w:rFonts w:hint="eastAsia" w:ascii="Times New Roman" w:hAnsi="Times New Roman" w:eastAsia="仿宋_GB2312" w:cs="Times New Roman"/>
                <w:bCs/>
                <w:color w:val="auto"/>
                <w:highlight w:val="none"/>
              </w:rPr>
              <w:t>项目所有有效报价金额的算术平均值得出</w:t>
            </w:r>
            <w:r>
              <w:rPr>
                <w:rFonts w:hint="eastAsia" w:ascii="Times New Roman" w:hAnsi="Times New Roman" w:eastAsia="仿宋_GB2312" w:cs="Times New Roman"/>
                <w:bCs/>
                <w:color w:val="auto"/>
                <w:highlight w:val="none"/>
                <w:lang w:eastAsia="zh-CN"/>
              </w:rPr>
              <w:t>；</w:t>
            </w:r>
            <w:r>
              <w:rPr>
                <w:rFonts w:hint="eastAsia" w:ascii="Times New Roman" w:hAnsi="Times New Roman" w:eastAsia="仿宋_GB2312" w:cs="Times New Roman"/>
                <w:bCs/>
                <w:color w:val="auto"/>
                <w:highlight w:val="none"/>
              </w:rPr>
              <w:t>报价偏离度= |比选报价-比选基准价| /比选基准价×100%（注：“| |” 为绝对值符号，确保偏离度为非负数，仅反映偏离程度，不区分正负）</w:t>
            </w:r>
            <w:r>
              <w:rPr>
                <w:rFonts w:hint="default" w:ascii="Times New Roman" w:hAnsi="Times New Roman" w:eastAsia="仿宋_GB2312" w:cs="Times New Roman"/>
                <w:b w:val="0"/>
                <w:bCs/>
                <w:color w:val="auto"/>
                <w:highlight w:val="none"/>
              </w:rPr>
              <w:t xml:space="preserve"> </w:t>
            </w:r>
          </w:p>
        </w:tc>
        <w:tc>
          <w:tcPr>
            <w:tcW w:w="3077" w:type="dxa"/>
            <w:vAlign w:val="center"/>
          </w:tcPr>
          <w:p w14:paraId="423DEE47">
            <w:pPr>
              <w:rPr>
                <w:rFonts w:hint="default" w:ascii="Times New Roman" w:hAnsi="Times New Roman" w:eastAsia="仿宋_GB2312" w:cs="Times New Roman"/>
                <w:b w:val="0"/>
                <w:bCs/>
                <w:color w:val="auto"/>
                <w:highlight w:val="none"/>
              </w:rPr>
            </w:pPr>
            <w:r>
              <w:rPr>
                <w:rFonts w:hint="eastAsia" w:ascii="Times New Roman" w:hAnsi="Times New Roman" w:eastAsia="仿宋_GB2312" w:cs="Times New Roman"/>
                <w:b w:val="0"/>
                <w:bCs/>
                <w:color w:val="auto"/>
                <w:highlight w:val="none"/>
                <w:lang w:val="en-US" w:eastAsia="zh-CN"/>
              </w:rPr>
              <w:t>1.</w:t>
            </w:r>
            <w:r>
              <w:rPr>
                <w:rFonts w:hint="default" w:ascii="Times New Roman" w:hAnsi="Times New Roman" w:eastAsia="仿宋_GB2312" w:cs="Times New Roman"/>
                <w:b w:val="0"/>
                <w:bCs/>
                <w:color w:val="auto"/>
                <w:highlight w:val="none"/>
              </w:rPr>
              <w:t>应符合行业内自律公约。</w:t>
            </w:r>
          </w:p>
          <w:p w14:paraId="2E8DA6E7">
            <w:pPr>
              <w:rPr>
                <w:rFonts w:hint="default" w:ascii="Times New Roman" w:hAnsi="Times New Roman" w:eastAsia="仿宋_GB2312" w:cs="Times New Roman"/>
                <w:b w:val="0"/>
                <w:bCs/>
                <w:color w:val="auto"/>
                <w:highlight w:val="none"/>
              </w:rPr>
            </w:pPr>
            <w:r>
              <w:rPr>
                <w:rFonts w:hint="eastAsia" w:ascii="Times New Roman" w:hAnsi="Times New Roman" w:eastAsia="仿宋_GB2312" w:cs="Times New Roman"/>
                <w:b w:val="0"/>
                <w:bCs/>
                <w:color w:val="auto"/>
                <w:highlight w:val="none"/>
                <w:lang w:val="en-US" w:eastAsia="zh-CN"/>
              </w:rPr>
              <w:t>2.</w:t>
            </w:r>
            <w:r>
              <w:rPr>
                <w:rFonts w:hint="default" w:ascii="Times New Roman" w:hAnsi="Times New Roman" w:eastAsia="仿宋_GB2312" w:cs="Times New Roman"/>
                <w:b w:val="0"/>
                <w:bCs/>
                <w:color w:val="auto"/>
                <w:highlight w:val="none"/>
              </w:rPr>
              <w:t>需提供报价</w:t>
            </w:r>
            <w:r>
              <w:rPr>
                <w:rFonts w:hint="eastAsia" w:ascii="Times New Roman" w:hAnsi="Times New Roman" w:eastAsia="仿宋_GB2312" w:cs="Times New Roman"/>
                <w:b w:val="0"/>
                <w:bCs/>
                <w:color w:val="auto"/>
                <w:highlight w:val="none"/>
                <w:lang w:val="en-US" w:eastAsia="zh-CN"/>
              </w:rPr>
              <w:t>单（按附件2样式）</w:t>
            </w:r>
            <w:r>
              <w:rPr>
                <w:rFonts w:hint="eastAsia" w:ascii="Times New Roman" w:hAnsi="Times New Roman" w:eastAsia="仿宋_GB2312" w:cs="Times New Roman"/>
                <w:b w:val="0"/>
                <w:bCs/>
                <w:color w:val="auto"/>
                <w:highlight w:val="none"/>
                <w:lang w:eastAsia="zh-CN"/>
              </w:rPr>
              <w:t>，</w:t>
            </w:r>
            <w:r>
              <w:rPr>
                <w:rFonts w:hint="default" w:ascii="Times New Roman" w:hAnsi="Times New Roman" w:eastAsia="仿宋_GB2312" w:cs="Times New Roman"/>
                <w:b w:val="0"/>
                <w:bCs/>
                <w:color w:val="auto"/>
                <w:highlight w:val="none"/>
              </w:rPr>
              <w:t>明确</w:t>
            </w:r>
            <w:r>
              <w:rPr>
                <w:rFonts w:hint="default" w:ascii="Times New Roman" w:hAnsi="Times New Roman" w:eastAsia="仿宋_GB2312" w:cs="Times New Roman"/>
                <w:b w:val="0"/>
                <w:bCs/>
                <w:color w:val="auto"/>
                <w:highlight w:val="none"/>
                <w:lang w:val="en-US" w:eastAsia="zh-CN"/>
              </w:rPr>
              <w:t>每个服务项目的</w:t>
            </w:r>
            <w:r>
              <w:rPr>
                <w:rFonts w:hint="default" w:ascii="Times New Roman" w:hAnsi="Times New Roman" w:eastAsia="仿宋_GB2312" w:cs="Times New Roman"/>
                <w:b w:val="0"/>
                <w:bCs/>
                <w:color w:val="auto"/>
                <w:highlight w:val="none"/>
              </w:rPr>
              <w:t>费用。</w:t>
            </w:r>
          </w:p>
        </w:tc>
      </w:tr>
      <w:tr w14:paraId="0907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75" w:type="dxa"/>
            <w:shd w:val="clear" w:color="auto" w:fill="auto"/>
            <w:vAlign w:val="center"/>
          </w:tcPr>
          <w:p w14:paraId="2BD3ABD9">
            <w:pPr>
              <w:jc w:val="center"/>
              <w:rPr>
                <w:rFonts w:hint="default" w:ascii="Times New Roman" w:hAnsi="Times New Roman" w:eastAsia="仿宋_GB2312" w:cs="Times New Roman"/>
                <w:b/>
                <w:bCs w:val="0"/>
                <w:color w:val="auto"/>
                <w:highlight w:val="none"/>
                <w:lang w:val="en-US" w:eastAsia="zh-CN"/>
              </w:rPr>
            </w:pPr>
            <w:bookmarkStart w:id="45" w:name="_Toc84698407"/>
            <w:bookmarkStart w:id="46" w:name="_Toc79839825"/>
            <w:bookmarkStart w:id="47" w:name="_Toc85622919"/>
            <w:r>
              <w:rPr>
                <w:rFonts w:hint="eastAsia" w:ascii="Times New Roman" w:hAnsi="Times New Roman" w:eastAsia="仿宋_GB2312" w:cs="Times New Roman"/>
                <w:b/>
                <w:bCs w:val="0"/>
                <w:color w:val="auto"/>
                <w:highlight w:val="none"/>
                <w:lang w:val="en-US" w:eastAsia="zh-CN"/>
              </w:rPr>
              <w:t>扣分指标</w:t>
            </w:r>
          </w:p>
        </w:tc>
        <w:tc>
          <w:tcPr>
            <w:tcW w:w="5165" w:type="dxa"/>
            <w:shd w:val="clear" w:color="auto" w:fill="auto"/>
            <w:vAlign w:val="center"/>
          </w:tcPr>
          <w:p w14:paraId="43B6984B">
            <w:pPr>
              <w:jc w:val="center"/>
              <w:rPr>
                <w:rFonts w:hint="default" w:ascii="Times New Roman" w:hAnsi="Times New Roman" w:eastAsia="仿宋_GB2312" w:cs="Times New Roman"/>
                <w:b/>
                <w:bCs w:val="0"/>
                <w:color w:val="auto"/>
                <w:highlight w:val="none"/>
                <w:lang w:val="en-US" w:eastAsia="zh-CN"/>
              </w:rPr>
            </w:pPr>
            <w:r>
              <w:rPr>
                <w:rFonts w:hint="eastAsia" w:ascii="Times New Roman" w:hAnsi="Times New Roman" w:eastAsia="仿宋_GB2312" w:cs="Times New Roman"/>
                <w:b/>
                <w:bCs w:val="0"/>
                <w:color w:val="auto"/>
                <w:highlight w:val="none"/>
                <w:lang w:val="en-US" w:eastAsia="zh-CN"/>
              </w:rPr>
              <w:t>扣分标准</w:t>
            </w:r>
          </w:p>
        </w:tc>
        <w:tc>
          <w:tcPr>
            <w:tcW w:w="3077" w:type="dxa"/>
            <w:vAlign w:val="center"/>
          </w:tcPr>
          <w:p w14:paraId="357AC40D">
            <w:pPr>
              <w:jc w:val="center"/>
              <w:rPr>
                <w:rFonts w:hint="default" w:ascii="Times New Roman" w:hAnsi="Times New Roman" w:eastAsia="仿宋_GB2312" w:cs="Times New Roman"/>
                <w:b/>
                <w:bCs w:val="0"/>
                <w:color w:val="auto"/>
                <w:highlight w:val="none"/>
                <w:lang w:val="en-US" w:eastAsia="zh-CN"/>
              </w:rPr>
            </w:pPr>
            <w:r>
              <w:rPr>
                <w:rFonts w:hint="eastAsia" w:ascii="Times New Roman" w:hAnsi="Times New Roman" w:eastAsia="仿宋_GB2312" w:cs="Times New Roman"/>
                <w:b/>
                <w:bCs w:val="0"/>
                <w:color w:val="auto"/>
                <w:highlight w:val="none"/>
                <w:lang w:val="en-US" w:eastAsia="zh-CN"/>
              </w:rPr>
              <w:t>说明</w:t>
            </w:r>
          </w:p>
        </w:tc>
      </w:tr>
      <w:tr w14:paraId="602E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75" w:type="dxa"/>
            <w:shd w:val="clear" w:color="auto" w:fill="auto"/>
            <w:vAlign w:val="center"/>
          </w:tcPr>
          <w:p w14:paraId="2B20A7A2">
            <w:pPr>
              <w:rPr>
                <w:rFonts w:hint="eastAsia" w:ascii="Times New Roman" w:hAnsi="Times New Roman" w:eastAsia="仿宋_GB2312" w:cs="Times New Roman"/>
                <w:b w:val="0"/>
                <w:bCs/>
                <w:color w:val="auto"/>
                <w:highlight w:val="none"/>
                <w:lang w:val="en-US" w:eastAsia="zh-CN"/>
              </w:rPr>
            </w:pPr>
            <w:r>
              <w:rPr>
                <w:rFonts w:hint="eastAsia" w:ascii="Times New Roman" w:hAnsi="Times New Roman" w:eastAsia="仿宋_GB2312" w:cs="Times New Roman"/>
                <w:b w:val="0"/>
                <w:bCs/>
                <w:color w:val="auto"/>
                <w:highlight w:val="none"/>
                <w:lang w:val="en-US" w:eastAsia="zh-CN"/>
              </w:rPr>
              <w:t>扣分项</w:t>
            </w:r>
          </w:p>
        </w:tc>
        <w:tc>
          <w:tcPr>
            <w:tcW w:w="5165" w:type="dxa"/>
            <w:shd w:val="clear" w:color="auto" w:fill="auto"/>
            <w:vAlign w:val="center"/>
          </w:tcPr>
          <w:p w14:paraId="4D2C9919">
            <w:pPr>
              <w:rPr>
                <w:rFonts w:hint="eastAsia" w:ascii="Times New Roman" w:hAnsi="Times New Roman" w:eastAsia="仿宋_GB2312" w:cs="Times New Roman"/>
                <w:b w:val="0"/>
                <w:bCs/>
                <w:color w:val="auto"/>
                <w:highlight w:val="none"/>
                <w:lang w:val="en-US" w:eastAsia="zh-CN"/>
              </w:rPr>
            </w:pPr>
            <w:r>
              <w:rPr>
                <w:rFonts w:hint="eastAsia" w:ascii="Times New Roman" w:hAnsi="Times New Roman" w:eastAsia="仿宋_GB2312" w:cs="Times New Roman"/>
                <w:b w:val="0"/>
                <w:bCs/>
                <w:color w:val="auto"/>
                <w:highlight w:val="none"/>
                <w:lang w:val="en-US" w:eastAsia="zh-CN"/>
              </w:rPr>
              <w:t>近3年（自2022年9月1日起至本项目响应文件提交截止之日止），按中国人民银行、中国证监会、证券业协会、交易商协会、发改委等监管机构及自律组织发布的监管</w:t>
            </w:r>
            <w:r>
              <w:rPr>
                <w:rFonts w:hint="default" w:ascii="Times New Roman" w:hAnsi="Times New Roman" w:eastAsia="仿宋_GB2312" w:cs="Times New Roman"/>
                <w:b w:val="0"/>
                <w:bCs/>
                <w:color w:val="auto"/>
                <w:highlight w:val="none"/>
                <w:lang w:val="en-US" w:eastAsia="zh-CN"/>
              </w:rPr>
              <w:t>处罚</w:t>
            </w:r>
            <w:r>
              <w:rPr>
                <w:rFonts w:hint="eastAsia" w:ascii="Times New Roman" w:hAnsi="Times New Roman" w:eastAsia="仿宋_GB2312" w:cs="Times New Roman"/>
                <w:b w:val="0"/>
                <w:bCs/>
                <w:color w:val="auto"/>
                <w:highlight w:val="none"/>
                <w:lang w:val="en-US" w:eastAsia="zh-CN"/>
              </w:rPr>
              <w:t>记录（包括行政处罚、行政监管措施、自律监管措施等）进行扣分：</w:t>
            </w:r>
          </w:p>
          <w:p w14:paraId="64ABC59A">
            <w:pPr>
              <w:rPr>
                <w:rFonts w:hint="eastAsia"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bCs/>
                <w:color w:val="auto"/>
                <w:highlight w:val="none"/>
                <w:lang w:eastAsia="zh-CN"/>
              </w:rPr>
              <w:t xml:space="preserve"> - </w:t>
            </w:r>
            <w:r>
              <w:rPr>
                <w:rFonts w:hint="eastAsia" w:ascii="Times New Roman" w:hAnsi="Times New Roman" w:eastAsia="仿宋_GB2312" w:cs="Times New Roman"/>
                <w:b w:val="0"/>
                <w:bCs/>
                <w:color w:val="auto"/>
                <w:highlight w:val="none"/>
                <w:lang w:val="en-US" w:eastAsia="zh-CN"/>
              </w:rPr>
              <w:t>无任何监管</w:t>
            </w:r>
            <w:r>
              <w:rPr>
                <w:rFonts w:hint="default" w:ascii="Times New Roman" w:hAnsi="Times New Roman" w:eastAsia="仿宋_GB2312" w:cs="Times New Roman"/>
                <w:b w:val="0"/>
                <w:bCs/>
                <w:color w:val="auto"/>
                <w:highlight w:val="none"/>
                <w:lang w:val="en-US" w:eastAsia="zh-CN"/>
              </w:rPr>
              <w:t>处罚</w:t>
            </w:r>
            <w:r>
              <w:rPr>
                <w:rFonts w:hint="eastAsia" w:ascii="Times New Roman" w:hAnsi="Times New Roman" w:eastAsia="仿宋_GB2312" w:cs="Times New Roman"/>
                <w:b w:val="0"/>
                <w:bCs/>
                <w:color w:val="auto"/>
                <w:highlight w:val="none"/>
                <w:lang w:val="en-US" w:eastAsia="zh-CN"/>
              </w:rPr>
              <w:t>记录的，扣0分；</w:t>
            </w:r>
          </w:p>
          <w:p w14:paraId="50FFE371">
            <w:pPr>
              <w:rPr>
                <w:rFonts w:hint="default" w:ascii="Times New Roman" w:hAnsi="Times New Roman" w:eastAsia="仿宋_GB2312" w:cs="Times New Roman"/>
                <w:b w:val="0"/>
                <w:bCs/>
                <w:color w:val="auto"/>
                <w:kern w:val="2"/>
                <w:sz w:val="21"/>
                <w:szCs w:val="24"/>
                <w:highlight w:val="none"/>
                <w:lang w:val="en-US" w:eastAsia="zh-CN" w:bidi="ar-SA"/>
              </w:rPr>
            </w:pPr>
            <w:r>
              <w:rPr>
                <w:rFonts w:hint="default" w:ascii="Times New Roman" w:hAnsi="Times New Roman" w:eastAsia="仿宋_GB2312" w:cs="Times New Roman"/>
                <w:b w:val="0"/>
                <w:bCs/>
                <w:color w:val="auto"/>
                <w:highlight w:val="none"/>
                <w:lang w:eastAsia="zh-CN"/>
              </w:rPr>
              <w:t xml:space="preserve"> - </w:t>
            </w:r>
            <w:r>
              <w:rPr>
                <w:rFonts w:hint="eastAsia" w:ascii="Times New Roman" w:hAnsi="Times New Roman" w:eastAsia="仿宋_GB2312" w:cs="Times New Roman"/>
                <w:b w:val="0"/>
                <w:bCs/>
                <w:color w:val="auto"/>
                <w:highlight w:val="none"/>
                <w:lang w:val="en-US" w:eastAsia="zh-CN"/>
              </w:rPr>
              <w:t>存在监管</w:t>
            </w:r>
            <w:r>
              <w:rPr>
                <w:rFonts w:hint="default" w:ascii="Times New Roman" w:hAnsi="Times New Roman" w:eastAsia="仿宋_GB2312" w:cs="Times New Roman"/>
                <w:b w:val="0"/>
                <w:bCs/>
                <w:color w:val="auto"/>
                <w:highlight w:val="none"/>
                <w:lang w:val="en-US" w:eastAsia="zh-CN"/>
              </w:rPr>
              <w:t>处罚</w:t>
            </w:r>
            <w:r>
              <w:rPr>
                <w:rFonts w:hint="eastAsia" w:ascii="Times New Roman" w:hAnsi="Times New Roman" w:eastAsia="仿宋_GB2312" w:cs="Times New Roman"/>
                <w:b w:val="0"/>
                <w:bCs/>
                <w:color w:val="auto"/>
                <w:highlight w:val="none"/>
                <w:lang w:val="en-US" w:eastAsia="zh-CN"/>
              </w:rPr>
              <w:t>不良记录，依据处罚轻重程度进行扣分【每个监管文号计为1次记录】</w:t>
            </w:r>
          </w:p>
        </w:tc>
        <w:tc>
          <w:tcPr>
            <w:tcW w:w="3077" w:type="dxa"/>
            <w:shd w:val="clear" w:color="auto" w:fill="auto"/>
            <w:vAlign w:val="center"/>
          </w:tcPr>
          <w:p w14:paraId="3391E378">
            <w:pPr>
              <w:rPr>
                <w:rFonts w:hint="default" w:ascii="Times New Roman" w:hAnsi="Times New Roman" w:eastAsia="仿宋_GB2312" w:cs="Times New Roman"/>
                <w:b w:val="0"/>
                <w:bCs/>
                <w:color w:val="auto"/>
                <w:highlight w:val="none"/>
                <w:lang w:val="en-US" w:eastAsia="zh-CN"/>
              </w:rPr>
            </w:pPr>
            <w:r>
              <w:rPr>
                <w:rFonts w:hint="eastAsia" w:ascii="Times New Roman" w:hAnsi="Times New Roman" w:eastAsia="仿宋_GB2312" w:cs="Times New Roman"/>
                <w:b w:val="0"/>
                <w:bCs/>
                <w:color w:val="auto"/>
                <w:highlight w:val="none"/>
                <w:lang w:val="en-US" w:eastAsia="zh-CN"/>
              </w:rPr>
              <w:t>1.监管</w:t>
            </w:r>
            <w:r>
              <w:rPr>
                <w:rFonts w:hint="default" w:ascii="Times New Roman" w:hAnsi="Times New Roman" w:eastAsia="仿宋_GB2312" w:cs="Times New Roman"/>
                <w:b w:val="0"/>
                <w:bCs/>
                <w:color w:val="auto"/>
                <w:highlight w:val="none"/>
                <w:lang w:val="en-US" w:eastAsia="zh-CN"/>
              </w:rPr>
              <w:t>处罚信息以监管机构及自律组织官方网站（如人行</w:t>
            </w:r>
            <w:r>
              <w:rPr>
                <w:rFonts w:hint="eastAsia" w:ascii="Times New Roman" w:hAnsi="Times New Roman" w:eastAsia="仿宋_GB2312" w:cs="Times New Roman"/>
                <w:b w:val="0"/>
                <w:bCs/>
                <w:color w:val="auto"/>
                <w:highlight w:val="none"/>
                <w:lang w:val="en-US" w:eastAsia="zh-CN"/>
              </w:rPr>
              <w:t>、</w:t>
            </w:r>
            <w:r>
              <w:rPr>
                <w:rFonts w:hint="default" w:ascii="Times New Roman" w:hAnsi="Times New Roman" w:eastAsia="仿宋_GB2312" w:cs="Times New Roman"/>
                <w:b w:val="0"/>
                <w:bCs/>
                <w:color w:val="auto"/>
                <w:highlight w:val="none"/>
                <w:lang w:val="en-US" w:eastAsia="zh-CN"/>
              </w:rPr>
              <w:t>证监会、证券业协会、交易商协会</w:t>
            </w:r>
            <w:r>
              <w:rPr>
                <w:rFonts w:hint="eastAsia" w:ascii="Times New Roman" w:hAnsi="Times New Roman" w:eastAsia="仿宋_GB2312" w:cs="Times New Roman"/>
                <w:b w:val="0"/>
                <w:bCs/>
                <w:color w:val="auto"/>
                <w:highlight w:val="none"/>
                <w:lang w:val="en-US" w:eastAsia="zh-CN"/>
              </w:rPr>
              <w:t>、发改委</w:t>
            </w:r>
            <w:r>
              <w:rPr>
                <w:rFonts w:hint="default" w:ascii="Times New Roman" w:hAnsi="Times New Roman" w:eastAsia="仿宋_GB2312" w:cs="Times New Roman"/>
                <w:b w:val="0"/>
                <w:bCs/>
                <w:color w:val="auto"/>
                <w:highlight w:val="none"/>
                <w:lang w:val="en-US" w:eastAsia="zh-CN"/>
              </w:rPr>
              <w:t>）公开披露为准；</w:t>
            </w:r>
          </w:p>
          <w:p w14:paraId="38DE0BDB">
            <w:pPr>
              <w:rPr>
                <w:rFonts w:hint="default" w:ascii="Times New Roman" w:hAnsi="Times New Roman" w:eastAsia="仿宋_GB2312" w:cs="Times New Roman"/>
                <w:b w:val="0"/>
                <w:bCs/>
                <w:color w:val="auto"/>
                <w:kern w:val="2"/>
                <w:sz w:val="21"/>
                <w:szCs w:val="24"/>
                <w:highlight w:val="none"/>
                <w:lang w:val="en-US" w:eastAsia="zh-CN" w:bidi="ar-SA"/>
              </w:rPr>
            </w:pPr>
            <w:r>
              <w:rPr>
                <w:rFonts w:hint="default" w:ascii="Times New Roman" w:hAnsi="Times New Roman" w:eastAsia="仿宋_GB2312" w:cs="Times New Roman"/>
                <w:b w:val="0"/>
                <w:bCs/>
                <w:color w:val="auto"/>
                <w:highlight w:val="none"/>
                <w:lang w:val="en-US" w:eastAsia="zh-CN"/>
              </w:rPr>
              <w:t>2.</w:t>
            </w:r>
            <w:r>
              <w:rPr>
                <w:rFonts w:hint="default" w:ascii="Times New Roman" w:hAnsi="Times New Roman" w:eastAsia="仿宋_GB2312" w:cs="Times New Roman"/>
                <w:b/>
                <w:bCs w:val="0"/>
                <w:color w:val="auto"/>
                <w:highlight w:val="none"/>
                <w:lang w:val="en-US" w:eastAsia="zh-CN"/>
              </w:rPr>
              <w:t xml:space="preserve"> 响应人需主动</w:t>
            </w:r>
            <w:r>
              <w:rPr>
                <w:rFonts w:hint="eastAsia" w:ascii="Times New Roman" w:hAnsi="Times New Roman" w:eastAsia="仿宋_GB2312" w:cs="Times New Roman"/>
                <w:b/>
                <w:bCs w:val="0"/>
                <w:color w:val="auto"/>
                <w:highlight w:val="none"/>
                <w:lang w:val="en-US" w:eastAsia="zh-CN"/>
              </w:rPr>
              <w:t>披露近3年（自2022年9月1日起至本项目响应文件提交截止之日止）</w:t>
            </w:r>
            <w:r>
              <w:rPr>
                <w:rFonts w:hint="default" w:ascii="Times New Roman" w:hAnsi="Times New Roman" w:eastAsia="仿宋_GB2312" w:cs="Times New Roman"/>
                <w:b/>
                <w:bCs w:val="0"/>
                <w:color w:val="auto"/>
                <w:highlight w:val="none"/>
                <w:lang w:val="en-US" w:eastAsia="zh-CN"/>
              </w:rPr>
              <w:t>的</w:t>
            </w:r>
            <w:r>
              <w:rPr>
                <w:rFonts w:hint="eastAsia" w:ascii="Times New Roman" w:hAnsi="Times New Roman" w:eastAsia="仿宋_GB2312" w:cs="Times New Roman"/>
                <w:b/>
                <w:bCs w:val="0"/>
                <w:color w:val="auto"/>
                <w:highlight w:val="none"/>
                <w:lang w:val="en-US" w:eastAsia="zh-CN"/>
              </w:rPr>
              <w:t>监管</w:t>
            </w:r>
            <w:r>
              <w:rPr>
                <w:rFonts w:hint="default" w:ascii="Times New Roman" w:hAnsi="Times New Roman" w:eastAsia="仿宋_GB2312" w:cs="Times New Roman"/>
                <w:b/>
                <w:bCs w:val="0"/>
                <w:color w:val="auto"/>
                <w:highlight w:val="none"/>
                <w:lang w:val="en-US" w:eastAsia="zh-CN"/>
              </w:rPr>
              <w:t>处罚情况说明</w:t>
            </w:r>
            <w:r>
              <w:rPr>
                <w:rFonts w:hint="eastAsia" w:ascii="Times New Roman" w:hAnsi="Times New Roman" w:eastAsia="仿宋_GB2312" w:cs="Times New Roman"/>
                <w:b w:val="0"/>
                <w:bCs/>
                <w:color w:val="auto"/>
                <w:highlight w:val="none"/>
                <w:lang w:val="en-US" w:eastAsia="zh-CN"/>
              </w:rPr>
              <w:t>（按监管文号分别披露）</w:t>
            </w:r>
            <w:r>
              <w:rPr>
                <w:rFonts w:hint="default" w:ascii="Times New Roman" w:hAnsi="Times New Roman" w:eastAsia="仿宋_GB2312" w:cs="Times New Roman"/>
                <w:b w:val="0"/>
                <w:bCs/>
                <w:color w:val="auto"/>
                <w:highlight w:val="none"/>
                <w:lang w:val="en-US" w:eastAsia="zh-CN"/>
              </w:rPr>
              <w:t>，</w:t>
            </w:r>
            <w:r>
              <w:rPr>
                <w:rFonts w:hint="default" w:ascii="Times New Roman" w:hAnsi="Times New Roman" w:eastAsia="仿宋_GB2312" w:cs="Times New Roman"/>
                <w:b/>
                <w:bCs w:val="0"/>
                <w:color w:val="auto"/>
                <w:highlight w:val="none"/>
                <w:lang w:val="en-US" w:eastAsia="zh-CN"/>
              </w:rPr>
              <w:t>未主动披露但经</w:t>
            </w:r>
            <w:r>
              <w:rPr>
                <w:rFonts w:hint="eastAsia" w:ascii="Times New Roman" w:hAnsi="Times New Roman" w:eastAsia="仿宋_GB2312" w:cs="Times New Roman"/>
                <w:b/>
                <w:bCs w:val="0"/>
                <w:color w:val="auto"/>
                <w:highlight w:val="none"/>
                <w:lang w:val="en-US" w:eastAsia="zh-CN"/>
              </w:rPr>
              <w:t>采购</w:t>
            </w:r>
            <w:r>
              <w:rPr>
                <w:rFonts w:hint="default" w:ascii="Times New Roman" w:hAnsi="Times New Roman" w:eastAsia="仿宋_GB2312" w:cs="Times New Roman"/>
                <w:b/>
                <w:bCs w:val="0"/>
                <w:color w:val="auto"/>
                <w:highlight w:val="none"/>
                <w:lang w:val="en-US" w:eastAsia="zh-CN"/>
              </w:rPr>
              <w:t>人核查发现的</w:t>
            </w:r>
            <w:r>
              <w:rPr>
                <w:rFonts w:hint="eastAsia" w:ascii="Times New Roman" w:hAnsi="Times New Roman" w:eastAsia="仿宋_GB2312" w:cs="Times New Roman"/>
                <w:b/>
                <w:bCs w:val="0"/>
                <w:color w:val="auto"/>
                <w:highlight w:val="none"/>
                <w:lang w:val="en-US" w:eastAsia="zh-CN"/>
              </w:rPr>
              <w:t>，则直接按“扣分项”的最高限扣分</w:t>
            </w:r>
            <w:r>
              <w:rPr>
                <w:rFonts w:hint="default" w:ascii="Times New Roman" w:hAnsi="Times New Roman" w:eastAsia="仿宋_GB2312" w:cs="Times New Roman"/>
                <w:b w:val="0"/>
                <w:bCs/>
                <w:color w:val="auto"/>
                <w:highlight w:val="none"/>
                <w:lang w:val="en-US" w:eastAsia="zh-CN"/>
              </w:rPr>
              <w:t>。</w:t>
            </w:r>
          </w:p>
        </w:tc>
      </w:tr>
      <w:bookmarkEnd w:id="36"/>
      <w:bookmarkEnd w:id="37"/>
      <w:bookmarkEnd w:id="38"/>
      <w:bookmarkEnd w:id="39"/>
      <w:bookmarkEnd w:id="40"/>
      <w:bookmarkEnd w:id="41"/>
      <w:bookmarkEnd w:id="42"/>
      <w:bookmarkEnd w:id="43"/>
    </w:tbl>
    <w:p w14:paraId="7EF476CB">
      <w:p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（2）评议小组评分</w:t>
      </w:r>
    </w:p>
    <w:p w14:paraId="15324D3A">
      <w:pPr>
        <w:spacing w:line="578" w:lineRule="exact"/>
        <w:ind w:firstLine="64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议小组成员独立按本章第二条第（二）款的《评分标准表》规定的评价指标分别对响应人进行评分，然后去掉一个最高分和一个最低分，响应人得分以剩下评议小组成员评分的算术平均值得出，保留小数点后两位。</w:t>
      </w:r>
    </w:p>
    <w:p w14:paraId="71AD201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2.响应文件的澄清和补正</w:t>
      </w:r>
    </w:p>
    <w:p w14:paraId="489D9AB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（1）在评议过程中，评议小组可以书面形式要求响应人对所提交响应文件中不明确的内容进行书面澄清或说明，或者对细微偏差进行补正。评议小组不接受响应人主动提出的澄清、说明或补正。</w:t>
      </w:r>
    </w:p>
    <w:p w14:paraId="30949B6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（2）澄清、说明和补正不得改变响应文件的实质性内容。响应人的书面澄清、说明和补正属于响应文件的组成部分。</w:t>
      </w:r>
    </w:p>
    <w:p w14:paraId="39CBFEF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（3）评议小组对响应人提交的澄清、说明或补正有疑问的，可以要求响应人进一步澄清、说明或补正，直至满足评议小组的要求。</w:t>
      </w:r>
    </w:p>
    <w:p w14:paraId="19509B79">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3.评选时间与通知</w:t>
      </w:r>
    </w:p>
    <w:p w14:paraId="15CF2C1D">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本项目预计于响应文件递交截止日后7个工作日内进行评选，并预计于评选结束后7个工作日内发送中选通知，未中选机构则不发送通知。</w:t>
      </w:r>
    </w:p>
    <w:p w14:paraId="2C209645">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4.评选过程的保密</w:t>
      </w:r>
    </w:p>
    <w:p w14:paraId="4658EFC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（1）响应文件开启后，直至成交为止，凡属于对响应文件的审查、澄清、评价和比较有关的资料以及响应人的排名情况等与评选有关的任何情况均严格保密。</w:t>
      </w:r>
    </w:p>
    <w:p w14:paraId="27573A1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（2）在响应文件的评审和比较、响应人的排名情况以及签署合同的过程中，响应人向比选人和评议小组施加不公正影响的任何行为，都将会导致其响应被拒绝。</w:t>
      </w:r>
    </w:p>
    <w:p w14:paraId="28D1813B">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5.评议结果</w:t>
      </w:r>
    </w:p>
    <w:p w14:paraId="188B573C">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（1）评议小组原则上按照响应人得分由高到低的顺序推荐中选候选人。</w:t>
      </w:r>
    </w:p>
    <w:p w14:paraId="4011F6F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得分最高的为第一中选候选人；平均分相同的，报价低者优先；平均分及报价均相同的，由评议小组投票决定第一中选候选人，原则上第一中选候选人为中选供应商；如果中选供应商放弃中选资格、无法履约合同或者被查实存在影响中选结果的违法行为等情形，不符合中选条件的，自动向下一名顺延。</w:t>
      </w:r>
    </w:p>
    <w:p w14:paraId="6648045A">
      <w:pPr>
        <w:numPr>
          <w:ilvl w:val="0"/>
          <w:numId w:val="7"/>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确定中选供应商后，向成交供应商发送《中选通知书》，然后签订采购合同。</w:t>
      </w:r>
    </w:p>
    <w:p w14:paraId="51151891">
      <w:pPr>
        <w:numPr>
          <w:ilvl w:val="0"/>
          <w:numId w:val="0"/>
        </w:numPr>
        <w:spacing w:line="578" w:lineRule="exact"/>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（三）响应无效情形</w:t>
      </w:r>
    </w:p>
    <w:p w14:paraId="1B6ED1E7">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响应人或其响应文件出现下列情形之一者，将导致申请无效：</w:t>
      </w:r>
    </w:p>
    <w:p w14:paraId="776DF9D4">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1.响应人弄虚作假，故意伪造、隐瞒、遗漏重大信息，或未实质性回应比选文件内容、故意混淆重要事实的；</w:t>
      </w:r>
    </w:p>
    <w:p w14:paraId="28DC34E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2.包装响应文件的密封袋外表面的密封与标记不符合要求的；</w:t>
      </w:r>
    </w:p>
    <w:p w14:paraId="30AB01C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3.未通过资格审查的；</w:t>
      </w:r>
    </w:p>
    <w:p w14:paraId="3DA392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4.响应文件与比选文件实质性要求有严重背离的；</w:t>
      </w:r>
    </w:p>
    <w:p w14:paraId="4C7F9A56">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5.响应文件含有违反国家法律、法规的内容或附有我司不能接受的条件的；</w:t>
      </w:r>
    </w:p>
    <w:p w14:paraId="7EC5952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6.出现任何影响评审公正的违法、违规行为的；</w:t>
      </w:r>
    </w:p>
    <w:p w14:paraId="70BE1D3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7.因政策变动、自然灾害等不可抗力因素的影响，需要变更响应文件实质性内容的。</w:t>
      </w:r>
    </w:p>
    <w:p w14:paraId="09C6B3FB">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8.本文件规定的其他情形。</w:t>
      </w:r>
    </w:p>
    <w:p w14:paraId="40EF6B4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（四）其他说明</w:t>
      </w:r>
    </w:p>
    <w:p w14:paraId="285B977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比选人保留拒绝任何一份响应或所有响应的权利。</w:t>
      </w:r>
    </w:p>
    <w:p w14:paraId="401100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（五）澄清与答疑</w:t>
      </w:r>
    </w:p>
    <w:p w14:paraId="5988ADFF">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响应人如有任何疑问需咨询、解答，可在工作日8:30-12:00及14:30-18:00期间联系。</w:t>
      </w:r>
    </w:p>
    <w:p w14:paraId="00CF7FF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02CFBF">
      <w:pPr>
        <w:spacing w:line="578" w:lineRule="exact"/>
        <w:outlineLvl w:val="0"/>
        <w:rPr>
          <w:rFonts w:ascii="黑体" w:hAnsi="黑体" w:eastAsia="黑体" w:cs="黑体"/>
          <w:color w:val="auto"/>
          <w:sz w:val="32"/>
          <w:szCs w:val="32"/>
          <w:highlight w:val="none"/>
        </w:rPr>
      </w:pPr>
      <w:bookmarkStart w:id="48" w:name="_Toc18795"/>
      <w:r>
        <w:rPr>
          <w:rFonts w:hint="eastAsia" w:ascii="黑体" w:hAnsi="黑体" w:eastAsia="黑体" w:cs="黑体"/>
          <w:color w:val="auto"/>
          <w:sz w:val="32"/>
          <w:szCs w:val="32"/>
          <w:highlight w:val="none"/>
        </w:rPr>
        <w:t>附件1</w:t>
      </w:r>
      <w:bookmarkEnd w:id="48"/>
    </w:p>
    <w:p w14:paraId="2B2743D7">
      <w:pPr>
        <w:spacing w:line="578" w:lineRule="exact"/>
        <w:rPr>
          <w:color w:val="auto"/>
          <w:highlight w:val="none"/>
        </w:rPr>
      </w:pPr>
    </w:p>
    <w:bookmarkEnd w:id="45"/>
    <w:bookmarkEnd w:id="46"/>
    <w:bookmarkEnd w:id="47"/>
    <w:p w14:paraId="09E21CDB">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宋体" w:hAnsi="宋体" w:eastAsia="宋体" w:cs="宋体"/>
          <w:b/>
          <w:bCs/>
          <w:color w:val="auto"/>
          <w:sz w:val="44"/>
          <w:szCs w:val="44"/>
          <w:highlight w:val="none"/>
          <w:lang w:val="en-US" w:eastAsia="zh-CN"/>
        </w:rPr>
        <w:t>响应</w:t>
      </w:r>
      <w:r>
        <w:rPr>
          <w:rFonts w:hint="eastAsia" w:ascii="宋体" w:hAnsi="宋体" w:eastAsia="宋体" w:cs="宋体"/>
          <w:b/>
          <w:bCs/>
          <w:color w:val="auto"/>
          <w:sz w:val="44"/>
          <w:szCs w:val="44"/>
          <w:highlight w:val="none"/>
        </w:rPr>
        <w:t>文件声明函</w:t>
      </w:r>
    </w:p>
    <w:p w14:paraId="48B94274">
      <w:pPr>
        <w:spacing w:line="578" w:lineRule="exact"/>
        <w:rPr>
          <w:color w:val="auto"/>
          <w:highlight w:val="none"/>
        </w:rPr>
      </w:pPr>
    </w:p>
    <w:p w14:paraId="0890F59D">
      <w:pPr>
        <w:adjustRightInd w:val="0"/>
        <w:snapToGrid w:val="0"/>
        <w:spacing w:line="578" w:lineRule="exac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bCs/>
          <w:color w:val="auto"/>
          <w:sz w:val="32"/>
          <w:szCs w:val="32"/>
          <w:highlight w:val="none"/>
          <w:u w:val="single"/>
        </w:rPr>
        <w:t>海南省财金集团有限公司</w:t>
      </w:r>
    </w:p>
    <w:p w14:paraId="7BD42D5E">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根据贵方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lang w:val="en-US" w:eastAsia="zh-CN"/>
        </w:rPr>
        <w:t>2025年XX月</w:t>
      </w:r>
      <w:r>
        <w:rPr>
          <w:rFonts w:hint="eastAsia" w:ascii="仿宋" w:hAnsi="仿宋" w:eastAsia="仿宋" w:cs="仿宋_GB2312"/>
          <w:color w:val="auto"/>
          <w:sz w:val="32"/>
          <w:szCs w:val="32"/>
          <w:highlight w:val="none"/>
          <w:u w:val="single"/>
        </w:rPr>
        <w:t>《海南省财金集团有限公司企业主体评级和债项评级服务采购项目比选文件》</w:t>
      </w:r>
      <w:r>
        <w:rPr>
          <w:rFonts w:hint="eastAsia" w:ascii="仿宋" w:hAnsi="仿宋" w:eastAsia="仿宋" w:cs="仿宋_GB2312"/>
          <w:color w:val="auto"/>
          <w:sz w:val="32"/>
          <w:szCs w:val="32"/>
          <w:highlight w:val="none"/>
        </w:rPr>
        <w:t>的要求，我司参加该项目比选，提交</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文件正本【】份，副本【】份。我司在此声明并同意：</w:t>
      </w:r>
    </w:p>
    <w:p w14:paraId="560CF870">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一、</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已经详细地阅读了全部</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文件及附件，包括答疑、澄清、补充通知及参考文件（如有），我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完全清晰理解</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文件的要求，不存在任何含糊不清和误解之处，同意放弃对这些文件提出异议和质疑的权利。</w:t>
      </w:r>
    </w:p>
    <w:p w14:paraId="076C7F24">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二、</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承诺在本次比选中提供的一切资料和文件，无论是原件或是复印件均为真实、准确无误和有效的，绝无任何虚构、伪造和夸大的成份；否则我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愿意承担相应的后果和法律责任。</w:t>
      </w:r>
    </w:p>
    <w:p w14:paraId="07BED10C">
      <w:pPr>
        <w:numPr>
          <w:ilvl w:val="0"/>
          <w:numId w:val="0"/>
        </w:numPr>
        <w:adjustRightInd w:val="0"/>
        <w:snapToGrid w:val="0"/>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同意所递交的</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文件自</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截止时间起</w:t>
      </w:r>
      <w:r>
        <w:rPr>
          <w:rFonts w:hint="eastAsia" w:ascii="仿宋" w:hAnsi="仿宋" w:eastAsia="仿宋" w:cs="仿宋"/>
          <w:color w:val="auto"/>
          <w:sz w:val="32"/>
          <w:szCs w:val="32"/>
          <w:highlight w:val="none"/>
          <w:lang w:val="en-US" w:eastAsia="zh-CN"/>
        </w:rPr>
        <w:t>90天内</w:t>
      </w:r>
      <w:r>
        <w:rPr>
          <w:rFonts w:hint="eastAsia" w:ascii="仿宋" w:hAnsi="仿宋" w:eastAsia="仿宋" w:cs="仿宋"/>
          <w:color w:val="auto"/>
          <w:sz w:val="32"/>
          <w:szCs w:val="32"/>
          <w:highlight w:val="none"/>
        </w:rPr>
        <w:t>持续有效，在此期间内</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文件对我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持续具有约束力并可随时被接受，我</w:t>
      </w:r>
      <w:r>
        <w:rPr>
          <w:rFonts w:hint="eastAsia" w:ascii="仿宋" w:hAnsi="仿宋" w:eastAsia="仿宋" w:cs="仿宋"/>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文件或修改报价，经贵司同</w:t>
      </w:r>
      <w:r>
        <w:rPr>
          <w:rFonts w:hint="eastAsia" w:ascii="仿宋" w:hAnsi="仿宋" w:eastAsia="仿宋" w:cs="仿宋_GB2312"/>
          <w:color w:val="auto"/>
          <w:sz w:val="32"/>
          <w:szCs w:val="32"/>
          <w:highlight w:val="none"/>
          <w:lang w:eastAsia="zh-CN"/>
        </w:rPr>
        <w:t>意的</w:t>
      </w:r>
      <w:r>
        <w:rPr>
          <w:rFonts w:hint="eastAsia" w:ascii="仿宋" w:hAnsi="仿宋" w:eastAsia="仿宋" w:cs="仿宋_GB2312"/>
          <w:color w:val="auto"/>
          <w:sz w:val="32"/>
          <w:szCs w:val="32"/>
          <w:highlight w:val="none"/>
        </w:rPr>
        <w:t>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5304B82">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四、</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保证不与其他单位串通，不出让比选资格，不向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人或评选小组成员行贿</w:t>
      </w:r>
      <w:r>
        <w:rPr>
          <w:rFonts w:hint="eastAsia" w:ascii="仿宋" w:hAnsi="仿宋" w:eastAsia="仿宋" w:cs="仿宋_GB2312"/>
          <w:color w:val="auto"/>
          <w:sz w:val="32"/>
          <w:szCs w:val="32"/>
          <w:highlight w:val="none"/>
          <w:lang w:val="en-US" w:eastAsia="zh-CN"/>
        </w:rPr>
        <w:t>及</w:t>
      </w:r>
      <w:r>
        <w:rPr>
          <w:rFonts w:hint="eastAsia" w:ascii="仿宋" w:hAnsi="仿宋" w:eastAsia="仿宋" w:cs="仿宋_GB2312"/>
          <w:color w:val="auto"/>
          <w:sz w:val="32"/>
          <w:szCs w:val="32"/>
          <w:highlight w:val="none"/>
        </w:rPr>
        <w:t>报销</w:t>
      </w:r>
      <w:r>
        <w:rPr>
          <w:rFonts w:hint="eastAsia" w:ascii="仿宋" w:hAnsi="仿宋" w:eastAsia="仿宋" w:cs="仿宋"/>
          <w:color w:val="auto"/>
          <w:sz w:val="32"/>
          <w:szCs w:val="32"/>
          <w:highlight w:val="none"/>
        </w:rPr>
        <w:t>任何费用</w:t>
      </w:r>
      <w:r>
        <w:rPr>
          <w:rFonts w:hint="eastAsia" w:ascii="仿宋" w:hAnsi="仿宋" w:eastAsia="仿宋" w:cs="仿宋_GB2312"/>
          <w:color w:val="auto"/>
          <w:sz w:val="32"/>
          <w:szCs w:val="32"/>
          <w:highlight w:val="none"/>
        </w:rPr>
        <w:t>，不从事任何可能影响评审公平的其他行为。</w:t>
      </w:r>
    </w:p>
    <w:p w14:paraId="2686EAE7">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五、</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完全理解，</w:t>
      </w:r>
      <w:r>
        <w:rPr>
          <w:rFonts w:hint="eastAsia" w:ascii="仿宋" w:hAnsi="仿宋" w:eastAsia="仿宋" w:cs="仿宋_GB2312"/>
          <w:color w:val="auto"/>
          <w:sz w:val="32"/>
          <w:szCs w:val="32"/>
          <w:highlight w:val="none"/>
          <w:lang w:val="en-US" w:eastAsia="zh-CN"/>
        </w:rPr>
        <w:t>评议</w:t>
      </w:r>
      <w:r>
        <w:rPr>
          <w:rFonts w:hint="eastAsia" w:ascii="仿宋" w:hAnsi="仿宋" w:eastAsia="仿宋" w:cs="仿宋_GB2312"/>
          <w:color w:val="auto"/>
          <w:sz w:val="32"/>
          <w:szCs w:val="32"/>
          <w:highlight w:val="none"/>
        </w:rPr>
        <w:t>小组及</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人并无义务必须接受最低报价的比选或其它任何比选。</w:t>
      </w:r>
    </w:p>
    <w:p w14:paraId="4D493028">
      <w:pPr>
        <w:numPr>
          <w:ilvl w:val="0"/>
          <w:numId w:val="0"/>
        </w:numPr>
        <w:adjustRightInd w:val="0"/>
        <w:snapToGrid w:val="0"/>
        <w:spacing w:line="578"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_GB2312"/>
          <w:color w:val="auto"/>
          <w:sz w:val="32"/>
          <w:szCs w:val="32"/>
          <w:highlight w:val="none"/>
          <w:lang w:val="en-US" w:eastAsia="zh-CN"/>
        </w:rPr>
        <w:t>六、如果</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司中标</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我司</w:t>
      </w:r>
      <w:r>
        <w:rPr>
          <w:rFonts w:hint="eastAsia" w:ascii="仿宋" w:hAnsi="仿宋" w:eastAsia="仿宋" w:cs="仿宋_GB2312"/>
          <w:color w:val="auto"/>
          <w:sz w:val="32"/>
          <w:szCs w:val="32"/>
          <w:highlight w:val="none"/>
        </w:rPr>
        <w:t>保证履行</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文件中承诺的全部责任和义务，</w:t>
      </w:r>
      <w:r>
        <w:rPr>
          <w:rFonts w:hint="eastAsia" w:ascii="仿宋" w:hAnsi="仿宋" w:eastAsia="仿宋" w:cs="仿宋"/>
          <w:color w:val="auto"/>
          <w:sz w:val="32"/>
          <w:szCs w:val="32"/>
          <w:highlight w:val="none"/>
        </w:rPr>
        <w:t>承诺按采购人要求的时间及双方协商一致的条款签订</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承诺在合同约定的期限内完成并移交全部合同</w:t>
      </w:r>
      <w:r>
        <w:rPr>
          <w:rFonts w:hint="eastAsia" w:ascii="仿宋" w:hAnsi="仿宋" w:eastAsia="仿宋" w:cs="仿宋"/>
          <w:color w:val="auto"/>
          <w:sz w:val="32"/>
          <w:szCs w:val="32"/>
          <w:highlight w:val="none"/>
          <w:lang w:val="en-US" w:eastAsia="zh-CN"/>
        </w:rPr>
        <w:t>内容</w:t>
      </w:r>
      <w:r>
        <w:rPr>
          <w:rFonts w:hint="eastAsia" w:ascii="仿宋" w:hAnsi="仿宋" w:eastAsia="仿宋" w:cs="仿宋"/>
          <w:color w:val="auto"/>
          <w:sz w:val="32"/>
          <w:szCs w:val="32"/>
          <w:highlight w:val="none"/>
        </w:rPr>
        <w:t>。</w:t>
      </w:r>
    </w:p>
    <w:p w14:paraId="2959531B">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自行负担有关本次</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的所用费用和风险。</w:t>
      </w:r>
    </w:p>
    <w:p w14:paraId="1B0541B0">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p w14:paraId="548F0AB4">
      <w:pPr>
        <w:wordWrap w:val="0"/>
        <w:adjustRightInd w:val="0"/>
        <w:snapToGrid w:val="0"/>
        <w:spacing w:line="578" w:lineRule="exact"/>
        <w:jc w:val="left"/>
        <w:rPr>
          <w:rFonts w:ascii="仿宋_GB2312" w:hAnsi="仿宋_GB2312" w:eastAsia="仿宋_GB2312" w:cs="仿宋_GB2312"/>
          <w:color w:val="auto"/>
          <w:sz w:val="32"/>
          <w:szCs w:val="32"/>
          <w:highlight w:val="none"/>
        </w:rPr>
      </w:pPr>
    </w:p>
    <w:p w14:paraId="140BDEB0">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申请人（盖章）：</w:t>
      </w:r>
      <w:r>
        <w:rPr>
          <w:rFonts w:hint="eastAsia" w:ascii="仿宋_GB2312" w:hAnsi="仿宋_GB2312" w:eastAsia="仿宋_GB2312" w:cs="仿宋_GB2312"/>
          <w:color w:val="auto"/>
          <w:sz w:val="32"/>
          <w:szCs w:val="32"/>
          <w:highlight w:val="none"/>
          <w:u w:val="single"/>
        </w:rPr>
        <w:t xml:space="preserve">                        </w:t>
      </w:r>
    </w:p>
    <w:p w14:paraId="648FF22A">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25D54229">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2B952663">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500D3DFD">
      <w:pPr>
        <w:adjustRightInd w:val="0"/>
        <w:snapToGrid w:val="0"/>
        <w:spacing w:line="578"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日期：   年    月    日       </w:t>
      </w:r>
    </w:p>
    <w:p w14:paraId="21C0981B">
      <w:pPr>
        <w:spacing w:line="578" w:lineRule="exact"/>
        <w:jc w:val="left"/>
        <w:rPr>
          <w:color w:val="auto"/>
          <w:sz w:val="32"/>
          <w:szCs w:val="32"/>
          <w:highlight w:val="none"/>
        </w:rPr>
      </w:pPr>
    </w:p>
    <w:p w14:paraId="5C764874">
      <w:pPr>
        <w:spacing w:line="578" w:lineRule="exact"/>
        <w:rPr>
          <w:rFonts w:ascii="宋体" w:hAnsi="宋体" w:eastAsia="宋体" w:cs="宋体"/>
          <w:color w:val="auto"/>
          <w:sz w:val="32"/>
          <w:szCs w:val="32"/>
          <w:highlight w:val="none"/>
        </w:rPr>
      </w:pPr>
    </w:p>
    <w:p w14:paraId="4628003D">
      <w:pPr>
        <w:spacing w:line="578" w:lineRule="exact"/>
        <w:rPr>
          <w:rFonts w:ascii="宋体" w:hAnsi="宋体" w:eastAsia="宋体" w:cs="宋体"/>
          <w:color w:val="auto"/>
          <w:sz w:val="32"/>
          <w:szCs w:val="32"/>
          <w:highlight w:val="none"/>
        </w:rPr>
      </w:pPr>
    </w:p>
    <w:p w14:paraId="5B3581F2">
      <w:pPr>
        <w:spacing w:line="578" w:lineRule="exact"/>
        <w:rPr>
          <w:rFonts w:ascii="宋体" w:hAnsi="宋体" w:eastAsia="宋体" w:cs="宋体"/>
          <w:color w:val="auto"/>
          <w:sz w:val="32"/>
          <w:szCs w:val="32"/>
          <w:highlight w:val="none"/>
        </w:rPr>
      </w:pPr>
    </w:p>
    <w:p w14:paraId="1E624CFA">
      <w:pPr>
        <w:spacing w:line="578" w:lineRule="exact"/>
        <w:rPr>
          <w:rFonts w:ascii="宋体" w:hAnsi="宋体" w:eastAsia="宋体" w:cs="宋体"/>
          <w:color w:val="auto"/>
          <w:sz w:val="32"/>
          <w:szCs w:val="32"/>
          <w:highlight w:val="none"/>
        </w:rPr>
      </w:pPr>
    </w:p>
    <w:p w14:paraId="5138F775">
      <w:pPr>
        <w:spacing w:line="578" w:lineRule="exact"/>
        <w:rPr>
          <w:rFonts w:ascii="宋体" w:hAnsi="宋体" w:eastAsia="宋体" w:cs="宋体"/>
          <w:color w:val="auto"/>
          <w:sz w:val="32"/>
          <w:szCs w:val="32"/>
          <w:highlight w:val="none"/>
        </w:rPr>
      </w:pPr>
    </w:p>
    <w:p w14:paraId="49AEFC59">
      <w:pPr>
        <w:spacing w:line="578" w:lineRule="exact"/>
        <w:rPr>
          <w:rFonts w:ascii="宋体" w:hAnsi="宋体" w:eastAsia="宋体" w:cs="宋体"/>
          <w:color w:val="auto"/>
          <w:sz w:val="32"/>
          <w:szCs w:val="32"/>
          <w:highlight w:val="none"/>
        </w:rPr>
      </w:pPr>
    </w:p>
    <w:p w14:paraId="523C9D66">
      <w:pPr>
        <w:spacing w:line="578" w:lineRule="exact"/>
        <w:rPr>
          <w:rFonts w:ascii="宋体" w:hAnsi="宋体" w:eastAsia="宋体" w:cs="宋体"/>
          <w:color w:val="auto"/>
          <w:sz w:val="32"/>
          <w:szCs w:val="32"/>
          <w:highlight w:val="none"/>
        </w:rPr>
      </w:pPr>
    </w:p>
    <w:p w14:paraId="1DC41376">
      <w:pPr>
        <w:spacing w:line="578" w:lineRule="exact"/>
        <w:rPr>
          <w:rFonts w:ascii="宋体" w:hAnsi="宋体" w:eastAsia="宋体" w:cs="宋体"/>
          <w:color w:val="auto"/>
          <w:sz w:val="32"/>
          <w:szCs w:val="32"/>
          <w:highlight w:val="none"/>
        </w:rPr>
      </w:pPr>
    </w:p>
    <w:p w14:paraId="360FAA6E">
      <w:pPr>
        <w:spacing w:line="578" w:lineRule="exact"/>
        <w:rPr>
          <w:rFonts w:ascii="宋体" w:hAnsi="宋体" w:eastAsia="宋体" w:cs="宋体"/>
          <w:color w:val="auto"/>
          <w:sz w:val="32"/>
          <w:szCs w:val="32"/>
          <w:highlight w:val="none"/>
        </w:rPr>
      </w:pPr>
    </w:p>
    <w:p w14:paraId="441422E0">
      <w:pPr>
        <w:spacing w:line="578" w:lineRule="exact"/>
        <w:rPr>
          <w:rFonts w:ascii="宋体" w:hAnsi="宋体" w:eastAsia="宋体" w:cs="宋体"/>
          <w:color w:val="auto"/>
          <w:sz w:val="32"/>
          <w:szCs w:val="32"/>
          <w:highlight w:val="none"/>
        </w:rPr>
      </w:pPr>
      <w:bookmarkStart w:id="49" w:name="_Toc15270"/>
      <w:r>
        <w:rPr>
          <w:rFonts w:hint="eastAsia" w:ascii="黑体" w:hAnsi="黑体" w:eastAsia="黑体" w:cs="黑体"/>
          <w:color w:val="auto"/>
          <w:sz w:val="32"/>
          <w:szCs w:val="32"/>
          <w:highlight w:val="none"/>
        </w:rPr>
        <w:t>附件2</w:t>
      </w:r>
      <w:bookmarkEnd w:id="49"/>
    </w:p>
    <w:p w14:paraId="3922A9A1">
      <w:pPr>
        <w:spacing w:line="578" w:lineRule="exact"/>
        <w:outlineLvl w:val="0"/>
        <w:rPr>
          <w:rFonts w:ascii="黑体" w:hAnsi="黑体" w:eastAsia="黑体" w:cs="黑体"/>
          <w:color w:val="auto"/>
          <w:sz w:val="32"/>
          <w:szCs w:val="32"/>
          <w:highlight w:val="none"/>
        </w:rPr>
      </w:pPr>
    </w:p>
    <w:p w14:paraId="56692F3D">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报价单</w:t>
      </w:r>
    </w:p>
    <w:p w14:paraId="2E54E908">
      <w:pPr>
        <w:pStyle w:val="5"/>
        <w:spacing w:line="578"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海南省财金集团有限公司</w:t>
      </w:r>
      <w:r>
        <w:rPr>
          <w:rFonts w:hint="eastAsia" w:ascii="仿宋_GB2312" w:hAnsi="仿宋_GB2312" w:eastAsia="仿宋_GB2312" w:cs="仿宋_GB2312"/>
          <w:color w:val="auto"/>
          <w:sz w:val="32"/>
          <w:szCs w:val="32"/>
          <w:highlight w:val="none"/>
        </w:rPr>
        <w:t>：</w:t>
      </w:r>
    </w:p>
    <w:p w14:paraId="0603515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认真研究了贵司《海南省财金集团有限公司企业主体评级和债项评级服务采购项目比选文件》，愿意按</w:t>
      </w:r>
      <w:r>
        <w:rPr>
          <w:rFonts w:hint="eastAsia" w:ascii="仿宋" w:hAnsi="仿宋" w:eastAsia="仿宋" w:cs="仿宋_GB2312"/>
          <w:color w:val="auto"/>
          <w:sz w:val="32"/>
          <w:szCs w:val="32"/>
          <w:highlight w:val="none"/>
          <w:lang w:val="en-US" w:eastAsia="zh-CN"/>
        </w:rPr>
        <w:t>以下价格（</w:t>
      </w:r>
      <w:r>
        <w:rPr>
          <w:rFonts w:hint="eastAsia" w:ascii="仿宋" w:hAnsi="仿宋" w:eastAsia="仿宋" w:cs="仿宋_GB2312"/>
          <w:color w:val="auto"/>
          <w:sz w:val="32"/>
          <w:szCs w:val="32"/>
          <w:highlight w:val="none"/>
        </w:rPr>
        <w:t>含由此产生的差旅费、税费等所有费用</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承包采购比选文件规定的服务，并开具增值税专用发票</w:t>
      </w:r>
      <w:r>
        <w:rPr>
          <w:rFonts w:hint="eastAsia" w:ascii="仿宋" w:hAnsi="仿宋" w:eastAsia="仿宋" w:cs="仿宋_GB2312"/>
          <w:color w:val="auto"/>
          <w:sz w:val="32"/>
          <w:szCs w:val="32"/>
          <w:highlight w:val="none"/>
          <w:lang w:eastAsia="zh-CN"/>
        </w:rPr>
        <w:t>：</w:t>
      </w:r>
    </w:p>
    <w:tbl>
      <w:tblPr>
        <w:tblStyle w:val="16"/>
        <w:tblpPr w:leftFromText="180" w:rightFromText="180" w:vertAnchor="text" w:horzAnchor="page" w:tblpXSpec="center" w:tblpY="134"/>
        <w:tblOverlap w:val="never"/>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986"/>
        <w:gridCol w:w="6102"/>
      </w:tblGrid>
      <w:tr w14:paraId="3EB8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367" w:type="dxa"/>
            <w:vAlign w:val="center"/>
          </w:tcPr>
          <w:p w14:paraId="32D05A7C">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服务项目</w:t>
            </w:r>
          </w:p>
        </w:tc>
        <w:tc>
          <w:tcPr>
            <w:tcW w:w="986" w:type="dxa"/>
            <w:vAlign w:val="center"/>
          </w:tcPr>
          <w:p w14:paraId="46A8515D">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服务</w:t>
            </w:r>
          </w:p>
          <w:p w14:paraId="04510FD5">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vertAlign w:val="baseline"/>
                <w:lang w:val="en-US" w:eastAsia="zh-CN"/>
              </w:rPr>
              <w:t>周期</w:t>
            </w:r>
          </w:p>
        </w:tc>
        <w:tc>
          <w:tcPr>
            <w:tcW w:w="6102" w:type="dxa"/>
            <w:vAlign w:val="center"/>
          </w:tcPr>
          <w:p w14:paraId="5C5CE627">
            <w:pPr>
              <w:numPr>
                <w:ilvl w:val="0"/>
                <w:numId w:val="0"/>
              </w:numPr>
              <w:jc w:val="center"/>
              <w:rPr>
                <w:rFonts w:hint="default" w:ascii="Times New Roman" w:hAnsi="Times New Roman" w:eastAsia="仿宋_GB2312" w:cs="Times New Roman"/>
                <w:b/>
                <w:bCs/>
                <w:color w:val="auto"/>
                <w:sz w:val="24"/>
                <w:szCs w:val="24"/>
                <w:highlight w:val="none"/>
                <w:vertAlign w:val="baseline"/>
                <w:lang w:val="en-US" w:eastAsia="zh-CN"/>
              </w:rPr>
            </w:pPr>
            <w:r>
              <w:rPr>
                <w:rFonts w:hint="eastAsia" w:ascii="Times New Roman" w:hAnsi="Times New Roman" w:eastAsia="仿宋_GB2312" w:cs="Times New Roman"/>
                <w:b/>
                <w:bCs/>
                <w:color w:val="auto"/>
                <w:sz w:val="24"/>
                <w:szCs w:val="24"/>
                <w:highlight w:val="none"/>
                <w:vertAlign w:val="baseline"/>
                <w:lang w:val="en-US" w:eastAsia="zh-CN"/>
              </w:rPr>
              <w:t>服务价格（人民币，含增值税）</w:t>
            </w:r>
          </w:p>
        </w:tc>
      </w:tr>
      <w:tr w14:paraId="7CFF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367" w:type="dxa"/>
            <w:vAlign w:val="center"/>
          </w:tcPr>
          <w:p w14:paraId="4DD74B9D">
            <w:pPr>
              <w:numPr>
                <w:ilvl w:val="0"/>
                <w:numId w:val="0"/>
              </w:numPr>
              <w:jc w:val="left"/>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主体评级</w:t>
            </w:r>
          </w:p>
        </w:tc>
        <w:tc>
          <w:tcPr>
            <w:tcW w:w="986" w:type="dxa"/>
            <w:vAlign w:val="center"/>
          </w:tcPr>
          <w:p w14:paraId="43C700DA">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三</w:t>
            </w:r>
            <w:r>
              <w:rPr>
                <w:rFonts w:hint="default" w:ascii="Times New Roman" w:hAnsi="Times New Roman" w:eastAsia="仿宋_GB2312" w:cs="Times New Roman"/>
                <w:color w:val="auto"/>
                <w:sz w:val="24"/>
                <w:szCs w:val="24"/>
                <w:highlight w:val="none"/>
                <w:vertAlign w:val="baseline"/>
                <w:lang w:val="en-US" w:eastAsia="zh-CN"/>
              </w:rPr>
              <w:t>年</w:t>
            </w:r>
          </w:p>
        </w:tc>
        <w:tc>
          <w:tcPr>
            <w:tcW w:w="6102" w:type="dxa"/>
            <w:vAlign w:val="center"/>
          </w:tcPr>
          <w:p w14:paraId="29E0EA64">
            <w:pPr>
              <w:numPr>
                <w:ilvl w:val="0"/>
                <w:numId w:val="0"/>
              </w:numPr>
              <w:jc w:val="left"/>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三年</w:t>
            </w:r>
            <w:r>
              <w:rPr>
                <w:rFonts w:hint="default" w:ascii="Times New Roman" w:hAnsi="Times New Roman" w:eastAsia="仿宋_GB2312" w:cs="Times New Roman"/>
                <w:color w:val="auto"/>
                <w:sz w:val="24"/>
                <w:szCs w:val="24"/>
                <w:highlight w:val="none"/>
                <w:vertAlign w:val="baseline"/>
                <w:lang w:val="en-US" w:eastAsia="zh-CN"/>
              </w:rPr>
              <w:t>总</w:t>
            </w:r>
            <w:r>
              <w:rPr>
                <w:rFonts w:hint="eastAsia" w:ascii="Times New Roman" w:hAnsi="Times New Roman" w:eastAsia="仿宋_GB2312" w:cs="Times New Roman"/>
                <w:color w:val="auto"/>
                <w:sz w:val="24"/>
                <w:szCs w:val="24"/>
                <w:highlight w:val="none"/>
                <w:vertAlign w:val="baseline"/>
                <w:lang w:val="en-US" w:eastAsia="zh-CN"/>
              </w:rPr>
              <w:t>金额：大写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元（小写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w:t>
            </w:r>
            <w:r>
              <w:rPr>
                <w:rFonts w:hint="eastAsia" w:ascii="Times New Roman" w:hAnsi="Times New Roman" w:eastAsia="仿宋_GB2312" w:cs="Times New Roman"/>
                <w:color w:val="auto"/>
                <w:sz w:val="24"/>
                <w:szCs w:val="24"/>
                <w:highlight w:val="none"/>
                <w:vertAlign w:val="baseline"/>
                <w:lang w:val="en-US" w:eastAsia="zh-CN"/>
              </w:rPr>
              <w:t>；</w:t>
            </w:r>
          </w:p>
          <w:p w14:paraId="35E86682">
            <w:pPr>
              <w:numPr>
                <w:ilvl w:val="0"/>
                <w:numId w:val="0"/>
              </w:numPr>
              <w:jc w:val="left"/>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每</w:t>
            </w:r>
            <w:r>
              <w:rPr>
                <w:rFonts w:hint="default" w:ascii="Times New Roman" w:hAnsi="Times New Roman" w:eastAsia="仿宋_GB2312" w:cs="Times New Roman"/>
                <w:color w:val="auto"/>
                <w:sz w:val="24"/>
                <w:szCs w:val="24"/>
                <w:highlight w:val="none"/>
                <w:vertAlign w:val="baseline"/>
                <w:lang w:val="en-US" w:eastAsia="zh-CN"/>
              </w:rPr>
              <w:t>年</w:t>
            </w:r>
            <w:r>
              <w:rPr>
                <w:rFonts w:hint="eastAsia" w:ascii="Times New Roman" w:hAnsi="Times New Roman" w:eastAsia="仿宋_GB2312" w:cs="Times New Roman"/>
                <w:color w:val="auto"/>
                <w:sz w:val="24"/>
                <w:szCs w:val="24"/>
                <w:highlight w:val="none"/>
                <w:vertAlign w:val="baseline"/>
                <w:lang w:val="en-US" w:eastAsia="zh-CN"/>
              </w:rPr>
              <w:t>金额：大写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元（小写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w:t>
            </w:r>
            <w:r>
              <w:rPr>
                <w:rFonts w:hint="eastAsia" w:ascii="Times New Roman" w:hAnsi="Times New Roman" w:eastAsia="仿宋_GB2312" w:cs="Times New Roman"/>
                <w:color w:val="auto"/>
                <w:sz w:val="24"/>
                <w:szCs w:val="24"/>
                <w:highlight w:val="none"/>
                <w:vertAlign w:val="baseline"/>
                <w:lang w:val="en-US" w:eastAsia="zh-CN"/>
              </w:rPr>
              <w:t>【每年一致】</w:t>
            </w:r>
          </w:p>
        </w:tc>
      </w:tr>
      <w:tr w14:paraId="7731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vAlign w:val="center"/>
          </w:tcPr>
          <w:p w14:paraId="1D87EC27">
            <w:pPr>
              <w:numPr>
                <w:ilvl w:val="0"/>
                <w:numId w:val="0"/>
              </w:numPr>
              <w:jc w:val="left"/>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首个批文的债项评级费用，包括债项评级、跟踪评级、数据更新、分期发行（服务内容按实际需要发生为准）</w:t>
            </w:r>
          </w:p>
        </w:tc>
        <w:tc>
          <w:tcPr>
            <w:tcW w:w="986" w:type="dxa"/>
            <w:vAlign w:val="center"/>
          </w:tcPr>
          <w:p w14:paraId="56C1F96D">
            <w:pPr>
              <w:numPr>
                <w:ilvl w:val="0"/>
                <w:numId w:val="0"/>
              </w:numPr>
              <w:jc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债券存续期</w:t>
            </w:r>
          </w:p>
        </w:tc>
        <w:tc>
          <w:tcPr>
            <w:tcW w:w="6102" w:type="dxa"/>
            <w:vAlign w:val="center"/>
          </w:tcPr>
          <w:p w14:paraId="1DD296E0">
            <w:pPr>
              <w:numPr>
                <w:ilvl w:val="0"/>
                <w:numId w:val="0"/>
              </w:numPr>
              <w:jc w:val="left"/>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总</w:t>
            </w:r>
            <w:r>
              <w:rPr>
                <w:rFonts w:hint="eastAsia" w:ascii="Times New Roman" w:hAnsi="Times New Roman" w:eastAsia="仿宋_GB2312" w:cs="Times New Roman"/>
                <w:color w:val="auto"/>
                <w:sz w:val="24"/>
                <w:szCs w:val="24"/>
                <w:highlight w:val="none"/>
                <w:vertAlign w:val="baseline"/>
                <w:lang w:val="en-US" w:eastAsia="zh-CN"/>
              </w:rPr>
              <w:t>金额：大写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元（小写</w:t>
            </w:r>
            <w:r>
              <w:rPr>
                <w:rFonts w:hint="eastAsia"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vertAlign w:val="baseline"/>
                <w:lang w:val="en-US" w:eastAsia="zh-CN"/>
              </w:rPr>
              <w:t>元）</w:t>
            </w:r>
          </w:p>
        </w:tc>
      </w:tr>
    </w:tbl>
    <w:p w14:paraId="01DEEDDD">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同意所递交的</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文件自</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截止时间起的</w:t>
      </w:r>
      <w:r>
        <w:rPr>
          <w:rFonts w:hint="eastAsia" w:ascii="仿宋" w:hAnsi="仿宋" w:eastAsia="仿宋" w:cs="仿宋_GB2312"/>
          <w:color w:val="auto"/>
          <w:sz w:val="32"/>
          <w:szCs w:val="32"/>
          <w:highlight w:val="none"/>
          <w:lang w:val="en-US" w:eastAsia="zh-CN"/>
        </w:rPr>
        <w:t>90天</w:t>
      </w:r>
      <w:r>
        <w:rPr>
          <w:rFonts w:hint="eastAsia" w:ascii="仿宋" w:hAnsi="仿宋" w:eastAsia="仿宋" w:cs="仿宋_GB2312"/>
          <w:color w:val="auto"/>
          <w:sz w:val="32"/>
          <w:szCs w:val="32"/>
          <w:highlight w:val="none"/>
        </w:rPr>
        <w:t>及经我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同意延长的期限内持续有效，在此期间内比选文件对我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持续具有约束力并可随时被接受，我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文件或修改比选报价，经贵司同意除外，我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A598FA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如果我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比</w:t>
      </w:r>
      <w:r>
        <w:rPr>
          <w:rFonts w:hint="eastAsia" w:ascii="仿宋" w:hAnsi="仿宋" w:eastAsia="仿宋" w:cs="仿宋_GB2312"/>
          <w:color w:val="auto"/>
          <w:sz w:val="32"/>
          <w:szCs w:val="32"/>
          <w:highlight w:val="none"/>
        </w:rPr>
        <w:t>选被接受，我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文件直至合同履行完毕持续有效，并承诺按</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人要求的时间及双方协商一致的条款签订合同。</w:t>
      </w:r>
    </w:p>
    <w:p w14:paraId="1B51902A">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愿意提供贵司要求的有关本次比选的其他资料。</w:t>
      </w:r>
    </w:p>
    <w:p w14:paraId="0A9063FA">
      <w:pPr>
        <w:numPr>
          <w:ilvl w:val="0"/>
          <w:numId w:val="8"/>
        </w:numPr>
        <w:spacing w:line="560" w:lineRule="exact"/>
        <w:ind w:firstLine="640" w:firstLineChars="20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自行负担有关本次比选的所用费用和风险。</w:t>
      </w:r>
    </w:p>
    <w:p w14:paraId="629E8898">
      <w:pPr>
        <w:numPr>
          <w:ilvl w:val="0"/>
          <w:numId w:val="0"/>
        </w:numPr>
        <w:spacing w:line="560" w:lineRule="exact"/>
        <w:ind w:leftChars="200"/>
        <w:rPr>
          <w:rFonts w:ascii="仿宋" w:hAnsi="仿宋" w:eastAsia="仿宋"/>
          <w:color w:val="auto"/>
          <w:sz w:val="32"/>
          <w:szCs w:val="32"/>
          <w:highlight w:val="none"/>
        </w:rPr>
      </w:pPr>
    </w:p>
    <w:p w14:paraId="5FDFDC85">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6AF7B6B9">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p>
    <w:p w14:paraId="050C614F">
      <w:pPr>
        <w:spacing w:line="578" w:lineRule="exact"/>
        <w:ind w:firstLine="640" w:firstLineChars="200"/>
        <w:jc w:val="right"/>
        <w:rPr>
          <w:rFonts w:hint="eastAsia" w:ascii="仿宋" w:hAnsi="仿宋" w:eastAsia="仿宋" w:cs="仿宋_GB2312"/>
          <w:color w:val="auto"/>
          <w:sz w:val="32"/>
          <w:szCs w:val="32"/>
          <w:highlight w:val="none"/>
        </w:rPr>
      </w:pPr>
    </w:p>
    <w:p w14:paraId="72CA8F05">
      <w:pPr>
        <w:spacing w:line="578" w:lineRule="exact"/>
        <w:ind w:firstLine="640" w:firstLineChars="200"/>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日期：   年   月   日         </w:t>
      </w:r>
    </w:p>
    <w:p w14:paraId="16FA695E">
      <w:pPr>
        <w:spacing w:line="578" w:lineRule="exac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FD903F9">
      <w:pPr>
        <w:spacing w:line="578" w:lineRule="exact"/>
        <w:outlineLvl w:val="0"/>
        <w:rPr>
          <w:rFonts w:hint="eastAsia" w:ascii="黑体" w:hAnsi="黑体" w:eastAsia="黑体" w:cs="黑体"/>
          <w:color w:val="auto"/>
          <w:sz w:val="32"/>
          <w:szCs w:val="32"/>
          <w:highlight w:val="none"/>
          <w:lang w:val="en-US" w:eastAsia="zh-CN"/>
        </w:rPr>
      </w:pPr>
      <w:bookmarkStart w:id="50" w:name="_Toc22933"/>
      <w:r>
        <w:rPr>
          <w:rFonts w:hint="eastAsia" w:ascii="黑体" w:hAnsi="黑体" w:eastAsia="黑体" w:cs="黑体"/>
          <w:color w:val="auto"/>
          <w:sz w:val="32"/>
          <w:szCs w:val="32"/>
          <w:highlight w:val="none"/>
        </w:rPr>
        <w:t>附件</w:t>
      </w:r>
      <w:bookmarkEnd w:id="50"/>
      <w:r>
        <w:rPr>
          <w:rFonts w:hint="eastAsia" w:ascii="黑体" w:hAnsi="黑体" w:eastAsia="黑体" w:cs="黑体"/>
          <w:color w:val="auto"/>
          <w:sz w:val="32"/>
          <w:szCs w:val="32"/>
          <w:highlight w:val="none"/>
          <w:lang w:val="en-US" w:eastAsia="zh-CN"/>
        </w:rPr>
        <w:t>3</w:t>
      </w:r>
    </w:p>
    <w:p w14:paraId="404A3EB0">
      <w:pPr>
        <w:pStyle w:val="3"/>
        <w:outlineLvl w:val="9"/>
        <w:rPr>
          <w:color w:val="auto"/>
          <w:highlight w:val="none"/>
          <w:lang w:val="en-US"/>
        </w:rPr>
      </w:pPr>
    </w:p>
    <w:p w14:paraId="58625803">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廉洁承诺书</w:t>
      </w:r>
    </w:p>
    <w:p w14:paraId="6B71F49A">
      <w:pPr>
        <w:spacing w:line="578" w:lineRule="exact"/>
        <w:rPr>
          <w:color w:val="auto"/>
          <w:highlight w:val="none"/>
        </w:rPr>
      </w:pPr>
    </w:p>
    <w:p w14:paraId="58FB6C5E">
      <w:pPr>
        <w:pStyle w:val="5"/>
        <w:spacing w:line="578"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海南省财金集团有限公司</w:t>
      </w:r>
      <w:r>
        <w:rPr>
          <w:rFonts w:hint="eastAsia" w:ascii="仿宋_GB2312" w:hAnsi="仿宋_GB2312" w:eastAsia="仿宋_GB2312" w:cs="仿宋_GB2312"/>
          <w:color w:val="auto"/>
          <w:sz w:val="32"/>
          <w:szCs w:val="32"/>
          <w:highlight w:val="none"/>
        </w:rPr>
        <w:t>：</w:t>
      </w:r>
    </w:p>
    <w:p w14:paraId="4D1312C6">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人承诺在比选过程中自觉遵守以下廉洁自律约定：</w:t>
      </w:r>
    </w:p>
    <w:p w14:paraId="17E36049">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人与</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人之间不存在任何个人利益动机；</w:t>
      </w:r>
    </w:p>
    <w:p w14:paraId="282C781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不引诱、骗取采购人员工泄露底价、价格、评审过程情况等商业秘密，不与其他比选单位串通；</w:t>
      </w:r>
    </w:p>
    <w:p w14:paraId="5054D16A">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不擅自与</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人员工就</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文件中的质量、数量、价格、工程量、验收等条款进行私下商谈或者达成默契以达到降低合同要求的行为；</w:t>
      </w:r>
    </w:p>
    <w:p w14:paraId="25C3D4A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人员工及其亲属或其委托人、代理人提供任何好处费、回扣、现金及有价证券、支付凭证、贵重礼物、借贷等；</w:t>
      </w:r>
    </w:p>
    <w:p w14:paraId="7CD70B61">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人员工及其亲属提供可能影响其公正履行职务行为的宴请、娱乐、体育、休闲、旅游等活动；</w:t>
      </w:r>
    </w:p>
    <w:p w14:paraId="5D20A24E">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不给</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人员工及其亲属报销任何费用；</w:t>
      </w:r>
    </w:p>
    <w:p w14:paraId="6C025958">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人员工及其亲属提供任何名借实贿的汽车、房产等；</w:t>
      </w:r>
    </w:p>
    <w:p w14:paraId="797E03E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人员工及其亲属提供家庭装修、工作、出国、留学等任何利益，或以委托理财方式输送利益；</w:t>
      </w:r>
    </w:p>
    <w:p w14:paraId="46830FE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确保本机构人员了解并自觉遵守本承诺书，若发现本机构任何人员有向采购人员工行贿倾向、建议或行为的，应予制止、批评教育，并主动向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人通报有关情况。发现</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人员工有索贿、受贿行为的，应坚决拒绝，并向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w:t>
      </w:r>
      <w:r>
        <w:rPr>
          <w:rFonts w:hint="eastAsia" w:ascii="仿宋" w:hAnsi="仿宋" w:eastAsia="仿宋" w:cs="仿宋_GB2312"/>
          <w:color w:val="auto"/>
          <w:sz w:val="32"/>
          <w:szCs w:val="32"/>
          <w:highlight w:val="none"/>
          <w:lang w:val="en-US" w:eastAsia="zh-CN"/>
        </w:rPr>
        <w:t>监督</w:t>
      </w:r>
      <w:r>
        <w:rPr>
          <w:rFonts w:hint="eastAsia" w:ascii="仿宋" w:hAnsi="仿宋" w:eastAsia="仿宋" w:cs="仿宋_GB2312"/>
          <w:color w:val="auto"/>
          <w:sz w:val="32"/>
          <w:szCs w:val="32"/>
          <w:highlight w:val="none"/>
        </w:rPr>
        <w:t>部</w:t>
      </w:r>
      <w:r>
        <w:rPr>
          <w:rFonts w:hint="eastAsia" w:ascii="仿宋" w:hAnsi="仿宋" w:eastAsia="仿宋" w:cs="仿宋_GB2312"/>
          <w:color w:val="auto"/>
          <w:sz w:val="32"/>
          <w:szCs w:val="32"/>
          <w:highlight w:val="none"/>
          <w:lang w:val="en-US" w:eastAsia="zh-CN"/>
        </w:rPr>
        <w:t>门</w:t>
      </w:r>
      <w:r>
        <w:rPr>
          <w:rFonts w:hint="eastAsia" w:ascii="仿宋" w:hAnsi="仿宋" w:eastAsia="仿宋" w:cs="仿宋_GB2312"/>
          <w:color w:val="auto"/>
          <w:sz w:val="32"/>
          <w:szCs w:val="32"/>
          <w:highlight w:val="none"/>
        </w:rPr>
        <w:t>举报。</w:t>
      </w:r>
    </w:p>
    <w:p w14:paraId="474F59EA">
      <w:pPr>
        <w:spacing w:line="578" w:lineRule="exact"/>
        <w:ind w:firstLine="640" w:firstLineChars="200"/>
        <w:rPr>
          <w:rFonts w:ascii="仿宋" w:hAnsi="仿宋" w:eastAsia="仿宋" w:cs="仿宋_GB2312"/>
          <w:color w:val="auto"/>
          <w:sz w:val="32"/>
          <w:szCs w:val="32"/>
          <w:highlight w:val="none"/>
        </w:rPr>
      </w:pPr>
    </w:p>
    <w:p w14:paraId="1BA3EDC2">
      <w:pPr>
        <w:spacing w:line="578" w:lineRule="exact"/>
        <w:rPr>
          <w:rFonts w:ascii="仿宋" w:hAnsi="仿宋" w:eastAsia="仿宋"/>
          <w:color w:val="auto"/>
          <w:sz w:val="32"/>
          <w:szCs w:val="32"/>
          <w:highlight w:val="none"/>
        </w:rPr>
      </w:pPr>
    </w:p>
    <w:p w14:paraId="0D85CFDE">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742474F5">
      <w:pPr>
        <w:spacing w:line="578" w:lineRule="exact"/>
        <w:ind w:firstLine="480"/>
        <w:jc w:val="left"/>
        <w:rPr>
          <w:rFonts w:ascii="仿宋" w:hAnsi="仿宋" w:eastAsia="仿宋" w:cs="仿宋_GB2312"/>
          <w:color w:val="auto"/>
          <w:sz w:val="32"/>
          <w:szCs w:val="32"/>
          <w:highlight w:val="none"/>
        </w:rPr>
      </w:pPr>
    </w:p>
    <w:p w14:paraId="414CB47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251BF8CB">
      <w:pPr>
        <w:spacing w:line="578" w:lineRule="exact"/>
        <w:ind w:firstLine="480"/>
        <w:jc w:val="left"/>
        <w:rPr>
          <w:rFonts w:ascii="仿宋" w:hAnsi="仿宋" w:eastAsia="仿宋" w:cs="仿宋_GB2312"/>
          <w:color w:val="auto"/>
          <w:sz w:val="32"/>
          <w:szCs w:val="32"/>
          <w:highlight w:val="none"/>
        </w:rPr>
      </w:pPr>
    </w:p>
    <w:p w14:paraId="44832BC4">
      <w:pPr>
        <w:spacing w:line="578" w:lineRule="exact"/>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07F1BBAF">
      <w:pPr>
        <w:spacing w:line="578" w:lineRule="exact"/>
        <w:rPr>
          <w:color w:val="auto"/>
          <w:sz w:val="32"/>
          <w:szCs w:val="32"/>
          <w:highlight w:val="none"/>
        </w:rPr>
      </w:pPr>
    </w:p>
    <w:p w14:paraId="734E9E0E">
      <w:pPr>
        <w:spacing w:line="578" w:lineRule="exact"/>
        <w:rPr>
          <w:color w:val="auto"/>
          <w:sz w:val="32"/>
          <w:szCs w:val="32"/>
          <w:highlight w:val="none"/>
        </w:rPr>
      </w:pPr>
    </w:p>
    <w:p w14:paraId="0B0957E9">
      <w:pPr>
        <w:spacing w:line="578" w:lineRule="exact"/>
        <w:rPr>
          <w:color w:val="auto"/>
          <w:highlight w:val="none"/>
        </w:rPr>
      </w:pPr>
      <w:r>
        <w:rPr>
          <w:color w:val="auto"/>
          <w:highlight w:val="none"/>
        </w:rPr>
        <w:br w:type="page"/>
      </w:r>
    </w:p>
    <w:p w14:paraId="2F376FEF">
      <w:pPr>
        <w:wordWrap w:val="0"/>
        <w:adjustRightInd w:val="0"/>
        <w:snapToGrid w:val="0"/>
        <w:spacing w:line="578" w:lineRule="exact"/>
        <w:ind w:firstLine="640" w:firstLineChars="200"/>
        <w:jc w:val="right"/>
        <w:rPr>
          <w:rFonts w:ascii="仿宋_GB2312" w:hAnsi="仿宋_GB2312" w:eastAsia="仿宋_GB2312" w:cs="仿宋_GB2312"/>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E75924F">
      <w:pPr>
        <w:spacing w:line="578" w:lineRule="exact"/>
        <w:outlineLvl w:val="0"/>
        <w:rPr>
          <w:rFonts w:hint="eastAsia" w:ascii="黑体" w:hAnsi="黑体" w:eastAsia="黑体" w:cs="黑体"/>
          <w:color w:val="auto"/>
          <w:sz w:val="32"/>
          <w:szCs w:val="32"/>
          <w:highlight w:val="none"/>
          <w:lang w:val="en-US" w:eastAsia="zh-CN"/>
        </w:rPr>
      </w:pPr>
      <w:bookmarkStart w:id="51" w:name="_Toc19186"/>
      <w:r>
        <w:rPr>
          <w:rFonts w:hint="eastAsia" w:ascii="黑体" w:hAnsi="黑体" w:eastAsia="黑体" w:cs="黑体"/>
          <w:color w:val="auto"/>
          <w:sz w:val="32"/>
          <w:szCs w:val="32"/>
          <w:highlight w:val="none"/>
        </w:rPr>
        <w:t>附件</w:t>
      </w:r>
      <w:bookmarkEnd w:id="51"/>
      <w:r>
        <w:rPr>
          <w:rFonts w:hint="eastAsia" w:ascii="黑体" w:hAnsi="黑体" w:eastAsia="黑体" w:cs="黑体"/>
          <w:color w:val="auto"/>
          <w:sz w:val="32"/>
          <w:szCs w:val="32"/>
          <w:highlight w:val="none"/>
          <w:lang w:val="en-US" w:eastAsia="zh-CN"/>
        </w:rPr>
        <w:t>4</w:t>
      </w:r>
    </w:p>
    <w:p w14:paraId="4219A68D">
      <w:pPr>
        <w:pStyle w:val="3"/>
        <w:outlineLvl w:val="9"/>
        <w:rPr>
          <w:color w:val="auto"/>
          <w:highlight w:val="none"/>
          <w:lang w:val="en-US"/>
        </w:rPr>
      </w:pPr>
    </w:p>
    <w:p w14:paraId="10A7CEC3">
      <w:pPr>
        <w:spacing w:line="578" w:lineRule="exact"/>
        <w:ind w:firstLine="723"/>
        <w:jc w:val="center"/>
        <w:outlineLvl w:val="0"/>
        <w:rPr>
          <w:rFonts w:ascii="方正小标宋简体" w:hAnsi="方正小标宋简体" w:eastAsia="方正小标宋简体" w:cs="方正小标宋简体"/>
          <w:color w:val="auto"/>
          <w:sz w:val="44"/>
          <w:szCs w:val="44"/>
          <w:highlight w:val="none"/>
        </w:rPr>
      </w:pPr>
      <w:bookmarkStart w:id="52" w:name="_Toc20402"/>
      <w:bookmarkStart w:id="53" w:name="_Toc14352"/>
      <w:r>
        <w:rPr>
          <w:rFonts w:hint="eastAsia" w:ascii="方正小标宋简体" w:hAnsi="方正小标宋简体" w:eastAsia="方正小标宋简体" w:cs="方正小标宋简体"/>
          <w:color w:val="auto"/>
          <w:sz w:val="44"/>
          <w:szCs w:val="44"/>
          <w:highlight w:val="none"/>
        </w:rPr>
        <w:t>无重大违法记录声明函</w:t>
      </w:r>
      <w:bookmarkEnd w:id="52"/>
      <w:bookmarkEnd w:id="53"/>
    </w:p>
    <w:p w14:paraId="2B6FC96F">
      <w:pPr>
        <w:spacing w:line="578" w:lineRule="exact"/>
        <w:rPr>
          <w:color w:val="auto"/>
          <w:highlight w:val="none"/>
        </w:rPr>
      </w:pPr>
    </w:p>
    <w:p w14:paraId="32C7B6C5">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我单位郑重声明</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近3年（自2022年9月1日起至本项目响应文件提交截止之日止）</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在经营活动中无以下不良行为记录：没有处于被责令停业、投标资格被取消、财产被接管、冻结、破产状态，在经营活动中没有重大违法记录。</w:t>
      </w:r>
    </w:p>
    <w:p w14:paraId="618C1434">
      <w:pPr>
        <w:pStyle w:val="20"/>
        <w:spacing w:line="578" w:lineRule="exact"/>
        <w:rPr>
          <w:rFonts w:ascii="仿宋" w:hAnsi="仿宋" w:eastAsia="仿宋"/>
          <w:color w:val="auto"/>
          <w:sz w:val="32"/>
          <w:szCs w:val="32"/>
          <w:highlight w:val="none"/>
          <w:lang w:eastAsia="zh-CN"/>
        </w:rPr>
      </w:pPr>
    </w:p>
    <w:p w14:paraId="322B0938">
      <w:pPr>
        <w:pStyle w:val="20"/>
        <w:spacing w:line="578" w:lineRule="exact"/>
        <w:rPr>
          <w:rFonts w:ascii="仿宋" w:hAnsi="仿宋" w:eastAsia="仿宋"/>
          <w:color w:val="auto"/>
          <w:sz w:val="32"/>
          <w:szCs w:val="32"/>
          <w:highlight w:val="none"/>
          <w:lang w:eastAsia="zh-CN"/>
        </w:rPr>
      </w:pPr>
    </w:p>
    <w:p w14:paraId="216BBAC8">
      <w:pPr>
        <w:pStyle w:val="20"/>
        <w:spacing w:line="578" w:lineRule="exact"/>
        <w:rPr>
          <w:rFonts w:ascii="仿宋" w:hAnsi="仿宋" w:eastAsia="仿宋"/>
          <w:color w:val="auto"/>
          <w:sz w:val="32"/>
          <w:szCs w:val="32"/>
          <w:highlight w:val="none"/>
          <w:lang w:eastAsia="zh-CN"/>
        </w:rPr>
      </w:pPr>
    </w:p>
    <w:p w14:paraId="6C16D6DA">
      <w:pPr>
        <w:pStyle w:val="20"/>
        <w:spacing w:line="578" w:lineRule="exact"/>
        <w:rPr>
          <w:rFonts w:ascii="仿宋" w:hAnsi="仿宋" w:eastAsia="仿宋"/>
          <w:color w:val="auto"/>
          <w:sz w:val="32"/>
          <w:szCs w:val="32"/>
          <w:highlight w:val="none"/>
          <w:lang w:eastAsia="zh-CN"/>
        </w:rPr>
      </w:pPr>
    </w:p>
    <w:p w14:paraId="1D67B07A">
      <w:pPr>
        <w:pStyle w:val="20"/>
        <w:spacing w:line="578" w:lineRule="exact"/>
        <w:rPr>
          <w:rFonts w:ascii="仿宋" w:hAnsi="仿宋" w:eastAsia="仿宋"/>
          <w:color w:val="auto"/>
          <w:sz w:val="32"/>
          <w:szCs w:val="32"/>
          <w:highlight w:val="none"/>
          <w:lang w:eastAsia="zh-CN"/>
        </w:rPr>
      </w:pPr>
    </w:p>
    <w:p w14:paraId="392BCB2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130C53DF">
      <w:pPr>
        <w:spacing w:line="578" w:lineRule="exact"/>
        <w:ind w:firstLine="480"/>
        <w:jc w:val="left"/>
        <w:rPr>
          <w:rFonts w:ascii="仿宋" w:hAnsi="仿宋" w:eastAsia="仿宋" w:cs="仿宋_GB2312"/>
          <w:color w:val="auto"/>
          <w:sz w:val="32"/>
          <w:szCs w:val="32"/>
          <w:highlight w:val="none"/>
        </w:rPr>
      </w:pPr>
    </w:p>
    <w:p w14:paraId="1DC60EA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61CAC7C8">
      <w:pPr>
        <w:spacing w:line="578" w:lineRule="exact"/>
        <w:ind w:firstLine="480"/>
        <w:jc w:val="left"/>
        <w:rPr>
          <w:rFonts w:ascii="仿宋" w:hAnsi="仿宋" w:eastAsia="仿宋" w:cs="仿宋_GB2312"/>
          <w:color w:val="auto"/>
          <w:sz w:val="32"/>
          <w:szCs w:val="32"/>
          <w:highlight w:val="none"/>
        </w:rPr>
      </w:pPr>
    </w:p>
    <w:p w14:paraId="0B8609D2">
      <w:pPr>
        <w:spacing w:line="578"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108E1409">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B832BB-EAB6-4BB1-91D1-D9C91502B2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27393366-1649-41EB-B19D-895AD1E5D337}"/>
  </w:font>
  <w:font w:name="仿宋">
    <w:panose1 w:val="02010609060101010101"/>
    <w:charset w:val="86"/>
    <w:family w:val="modern"/>
    <w:pitch w:val="default"/>
    <w:sig w:usb0="800002BF" w:usb1="38CF7CFA" w:usb2="00000016" w:usb3="00000000" w:csb0="00040001" w:csb1="00000000"/>
    <w:embedRegular r:id="rId3" w:fontKey="{DD6D66B2-93E4-43F4-A0FD-443585ED5075}"/>
  </w:font>
  <w:font w:name="仿宋_GB2312">
    <w:panose1 w:val="02010609030101010101"/>
    <w:charset w:val="86"/>
    <w:family w:val="modern"/>
    <w:pitch w:val="default"/>
    <w:sig w:usb0="00000001" w:usb1="080E0000" w:usb2="00000000" w:usb3="00000000" w:csb0="00040000" w:csb1="00000000"/>
    <w:embedRegular r:id="rId4" w:fontKey="{1F8A0C83-1CB4-48FB-95F2-90AC72894C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E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7C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395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7395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88C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4777D"/>
    <w:multiLevelType w:val="singleLevel"/>
    <w:tmpl w:val="D344777D"/>
    <w:lvl w:ilvl="0" w:tentative="0">
      <w:start w:val="2"/>
      <w:numFmt w:val="decimal"/>
      <w:suff w:val="nothing"/>
      <w:lvlText w:val="（%1）"/>
      <w:lvlJc w:val="left"/>
    </w:lvl>
  </w:abstractNum>
  <w:abstractNum w:abstractNumId="1">
    <w:nsid w:val="DDF060A6"/>
    <w:multiLevelType w:val="singleLevel"/>
    <w:tmpl w:val="DDF060A6"/>
    <w:lvl w:ilvl="0" w:tentative="0">
      <w:start w:val="1"/>
      <w:numFmt w:val="chineseCounting"/>
      <w:suff w:val="nothing"/>
      <w:lvlText w:val="（%1）"/>
      <w:lvlJc w:val="left"/>
      <w:pPr>
        <w:ind w:left="0" w:firstLine="420"/>
      </w:pPr>
      <w:rPr>
        <w:rFonts w:hint="eastAsia"/>
      </w:rPr>
    </w:lvl>
  </w:abstractNum>
  <w:abstractNum w:abstractNumId="2">
    <w:nsid w:val="00EB9C8B"/>
    <w:multiLevelType w:val="singleLevel"/>
    <w:tmpl w:val="00EB9C8B"/>
    <w:lvl w:ilvl="0" w:tentative="0">
      <w:start w:val="1"/>
      <w:numFmt w:val="decimal"/>
      <w:suff w:val="nothing"/>
      <w:lvlText w:val="%1．"/>
      <w:lvlJc w:val="left"/>
      <w:pPr>
        <w:ind w:left="0" w:firstLine="400"/>
      </w:pPr>
      <w:rPr>
        <w:rFonts w:hint="default"/>
      </w:rPr>
    </w:lvl>
  </w:abstractNum>
  <w:abstractNum w:abstractNumId="3">
    <w:nsid w:val="1476BDDF"/>
    <w:multiLevelType w:val="singleLevel"/>
    <w:tmpl w:val="1476BDDF"/>
    <w:lvl w:ilvl="0" w:tentative="0">
      <w:start w:val="1"/>
      <w:numFmt w:val="chineseCounting"/>
      <w:suff w:val="nothing"/>
      <w:lvlText w:val="%1、"/>
      <w:lvlJc w:val="left"/>
      <w:rPr>
        <w:rFonts w:hint="eastAsia"/>
      </w:rPr>
    </w:lvl>
  </w:abstractNum>
  <w:abstractNum w:abstractNumId="4">
    <w:nsid w:val="3E60E08A"/>
    <w:multiLevelType w:val="singleLevel"/>
    <w:tmpl w:val="3E60E08A"/>
    <w:lvl w:ilvl="0" w:tentative="0">
      <w:start w:val="1"/>
      <w:numFmt w:val="chineseCounting"/>
      <w:suff w:val="nothing"/>
      <w:lvlText w:val="（%1）"/>
      <w:lvlJc w:val="left"/>
      <w:pPr>
        <w:ind w:left="0" w:firstLine="420"/>
      </w:pPr>
      <w:rPr>
        <w:rFonts w:hint="eastAsia"/>
      </w:rPr>
    </w:lvl>
  </w:abstractNum>
  <w:abstractNum w:abstractNumId="5">
    <w:nsid w:val="4A4F39BC"/>
    <w:multiLevelType w:val="singleLevel"/>
    <w:tmpl w:val="4A4F39BC"/>
    <w:lvl w:ilvl="0" w:tentative="0">
      <w:start w:val="1"/>
      <w:numFmt w:val="chineseCounting"/>
      <w:suff w:val="nothing"/>
      <w:lvlText w:val="%1、"/>
      <w:lvlJc w:val="left"/>
      <w:rPr>
        <w:rFonts w:hint="eastAsia"/>
      </w:rPr>
    </w:lvl>
  </w:abstractNum>
  <w:abstractNum w:abstractNumId="6">
    <w:nsid w:val="69D721C0"/>
    <w:multiLevelType w:val="singleLevel"/>
    <w:tmpl w:val="69D721C0"/>
    <w:lvl w:ilvl="0" w:tentative="0">
      <w:start w:val="1"/>
      <w:numFmt w:val="chineseCounting"/>
      <w:suff w:val="nothing"/>
      <w:lvlText w:val="（%1）"/>
      <w:lvlJc w:val="left"/>
      <w:pPr>
        <w:ind w:left="0" w:firstLine="420"/>
      </w:pPr>
      <w:rPr>
        <w:rFonts w:hint="eastAsia"/>
      </w:rPr>
    </w:lvl>
  </w:abstractNum>
  <w:abstractNum w:abstractNumId="7">
    <w:nsid w:val="74D89812"/>
    <w:multiLevelType w:val="multilevel"/>
    <w:tmpl w:val="74D898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8"/>
  </w:num>
  <w:num w:numId="2">
    <w:abstractNumId w:val="7"/>
  </w:num>
  <w:num w:numId="3">
    <w:abstractNumId w:val="3"/>
  </w:num>
  <w:num w:numId="4">
    <w:abstractNumId w:val="6"/>
  </w:num>
  <w:num w:numId="5">
    <w:abstractNumId w:val="1"/>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2U4MzU0NzI5YTNiNjk0NDUzYjI0MWRkNzhhZGIifQ=="/>
    <w:docVar w:name="KSO_WPS_MARK_KEY" w:val="839936be-7fcb-406d-bb93-0baa4c2029ed"/>
  </w:docVars>
  <w:rsids>
    <w:rsidRoot w:val="010E20DA"/>
    <w:rsid w:val="00194C09"/>
    <w:rsid w:val="006065F4"/>
    <w:rsid w:val="00636848"/>
    <w:rsid w:val="00787750"/>
    <w:rsid w:val="008324C9"/>
    <w:rsid w:val="0092667C"/>
    <w:rsid w:val="00A8462D"/>
    <w:rsid w:val="00B00BD6"/>
    <w:rsid w:val="00B257FB"/>
    <w:rsid w:val="00CE3554"/>
    <w:rsid w:val="00ED3661"/>
    <w:rsid w:val="010E20DA"/>
    <w:rsid w:val="010E6913"/>
    <w:rsid w:val="01325A8F"/>
    <w:rsid w:val="019A60D7"/>
    <w:rsid w:val="01DC77EE"/>
    <w:rsid w:val="01E61FE3"/>
    <w:rsid w:val="029C6285"/>
    <w:rsid w:val="03331193"/>
    <w:rsid w:val="038C575E"/>
    <w:rsid w:val="03A83D63"/>
    <w:rsid w:val="03BF0DB3"/>
    <w:rsid w:val="046A0B31"/>
    <w:rsid w:val="04773CEA"/>
    <w:rsid w:val="04A03E4D"/>
    <w:rsid w:val="04C87066"/>
    <w:rsid w:val="04E8539D"/>
    <w:rsid w:val="0526590B"/>
    <w:rsid w:val="05861948"/>
    <w:rsid w:val="05A609AF"/>
    <w:rsid w:val="05AD3C2E"/>
    <w:rsid w:val="05B250B3"/>
    <w:rsid w:val="05C0796F"/>
    <w:rsid w:val="05FA6CDE"/>
    <w:rsid w:val="05FE28DF"/>
    <w:rsid w:val="06061004"/>
    <w:rsid w:val="061C01E5"/>
    <w:rsid w:val="065B7836"/>
    <w:rsid w:val="067C66F2"/>
    <w:rsid w:val="06A72A7B"/>
    <w:rsid w:val="06DF2215"/>
    <w:rsid w:val="06F97EFA"/>
    <w:rsid w:val="07356860"/>
    <w:rsid w:val="07752464"/>
    <w:rsid w:val="08A47C77"/>
    <w:rsid w:val="08D30F11"/>
    <w:rsid w:val="08D4782D"/>
    <w:rsid w:val="092F4010"/>
    <w:rsid w:val="093D4FB7"/>
    <w:rsid w:val="098470A4"/>
    <w:rsid w:val="099D6761"/>
    <w:rsid w:val="0A310FDA"/>
    <w:rsid w:val="0A5F390E"/>
    <w:rsid w:val="0AD14C34"/>
    <w:rsid w:val="0B161559"/>
    <w:rsid w:val="0B5B67FD"/>
    <w:rsid w:val="0B6574A7"/>
    <w:rsid w:val="0BA856A3"/>
    <w:rsid w:val="0BDE0664"/>
    <w:rsid w:val="0C1D3E05"/>
    <w:rsid w:val="0C762CD4"/>
    <w:rsid w:val="0C814EB1"/>
    <w:rsid w:val="0C86152F"/>
    <w:rsid w:val="0CA5554C"/>
    <w:rsid w:val="0CCF6888"/>
    <w:rsid w:val="0EC83A32"/>
    <w:rsid w:val="0EFF02FE"/>
    <w:rsid w:val="0F460457"/>
    <w:rsid w:val="0F584010"/>
    <w:rsid w:val="0FB55A94"/>
    <w:rsid w:val="101F784D"/>
    <w:rsid w:val="1122186D"/>
    <w:rsid w:val="11643F1C"/>
    <w:rsid w:val="11B37942"/>
    <w:rsid w:val="11C664AC"/>
    <w:rsid w:val="11D42564"/>
    <w:rsid w:val="11E33C5A"/>
    <w:rsid w:val="127811D7"/>
    <w:rsid w:val="13515B86"/>
    <w:rsid w:val="13F067A3"/>
    <w:rsid w:val="14327419"/>
    <w:rsid w:val="143D057B"/>
    <w:rsid w:val="147C31B5"/>
    <w:rsid w:val="149960C6"/>
    <w:rsid w:val="149D21F6"/>
    <w:rsid w:val="14DB4220"/>
    <w:rsid w:val="14EB5C6B"/>
    <w:rsid w:val="14F96FB1"/>
    <w:rsid w:val="150F7625"/>
    <w:rsid w:val="15802E15"/>
    <w:rsid w:val="15C56E32"/>
    <w:rsid w:val="16077093"/>
    <w:rsid w:val="169F699C"/>
    <w:rsid w:val="16D451C7"/>
    <w:rsid w:val="16FC1A94"/>
    <w:rsid w:val="173F41C8"/>
    <w:rsid w:val="17F130D5"/>
    <w:rsid w:val="18A959CE"/>
    <w:rsid w:val="18B41024"/>
    <w:rsid w:val="18E402E6"/>
    <w:rsid w:val="19084360"/>
    <w:rsid w:val="191F14D4"/>
    <w:rsid w:val="19602C5A"/>
    <w:rsid w:val="19D10B51"/>
    <w:rsid w:val="19D51086"/>
    <w:rsid w:val="1A5D54D3"/>
    <w:rsid w:val="1A6E76E0"/>
    <w:rsid w:val="1AEE51C6"/>
    <w:rsid w:val="1B435847"/>
    <w:rsid w:val="1B4D553A"/>
    <w:rsid w:val="1B87475B"/>
    <w:rsid w:val="1BB750B7"/>
    <w:rsid w:val="1C450915"/>
    <w:rsid w:val="1C4B6BE5"/>
    <w:rsid w:val="1C7865F4"/>
    <w:rsid w:val="1C7D3C0B"/>
    <w:rsid w:val="1CB322BB"/>
    <w:rsid w:val="1D026B7A"/>
    <w:rsid w:val="1D340FF9"/>
    <w:rsid w:val="1D444728"/>
    <w:rsid w:val="1DDF38B4"/>
    <w:rsid w:val="1DE84876"/>
    <w:rsid w:val="1E47547E"/>
    <w:rsid w:val="1E607108"/>
    <w:rsid w:val="1EBC2FC3"/>
    <w:rsid w:val="1EEC4CE2"/>
    <w:rsid w:val="1F2820D4"/>
    <w:rsid w:val="20AC1080"/>
    <w:rsid w:val="211D55FD"/>
    <w:rsid w:val="21665EFE"/>
    <w:rsid w:val="21D0113C"/>
    <w:rsid w:val="21DC13D3"/>
    <w:rsid w:val="21EE1107"/>
    <w:rsid w:val="22592A24"/>
    <w:rsid w:val="234A5215"/>
    <w:rsid w:val="238B2A4B"/>
    <w:rsid w:val="239D38C6"/>
    <w:rsid w:val="23B50DD7"/>
    <w:rsid w:val="23F67FFF"/>
    <w:rsid w:val="241244F6"/>
    <w:rsid w:val="247661B8"/>
    <w:rsid w:val="24AC7783"/>
    <w:rsid w:val="24B26327"/>
    <w:rsid w:val="24CA12B3"/>
    <w:rsid w:val="24D12D46"/>
    <w:rsid w:val="25341526"/>
    <w:rsid w:val="25545A31"/>
    <w:rsid w:val="255539E1"/>
    <w:rsid w:val="25B867F2"/>
    <w:rsid w:val="25C467F0"/>
    <w:rsid w:val="261D1FBA"/>
    <w:rsid w:val="268A64EC"/>
    <w:rsid w:val="270513CC"/>
    <w:rsid w:val="271B474C"/>
    <w:rsid w:val="273A70F8"/>
    <w:rsid w:val="27466F3A"/>
    <w:rsid w:val="278F4829"/>
    <w:rsid w:val="27BA4980"/>
    <w:rsid w:val="27DF0851"/>
    <w:rsid w:val="27FA25B3"/>
    <w:rsid w:val="282D2989"/>
    <w:rsid w:val="286E431E"/>
    <w:rsid w:val="290C4C94"/>
    <w:rsid w:val="298505A2"/>
    <w:rsid w:val="2A262DCA"/>
    <w:rsid w:val="2A9525DE"/>
    <w:rsid w:val="2ABC7FF4"/>
    <w:rsid w:val="2AE41EC1"/>
    <w:rsid w:val="2B3109E2"/>
    <w:rsid w:val="2B713260"/>
    <w:rsid w:val="2B7408CF"/>
    <w:rsid w:val="2B7C00E6"/>
    <w:rsid w:val="2B9E1E2E"/>
    <w:rsid w:val="2BEE68D3"/>
    <w:rsid w:val="2CCA393F"/>
    <w:rsid w:val="2CD5161C"/>
    <w:rsid w:val="2D130259"/>
    <w:rsid w:val="2DE47F8D"/>
    <w:rsid w:val="2E0232A2"/>
    <w:rsid w:val="2E0C1292"/>
    <w:rsid w:val="2E185F8C"/>
    <w:rsid w:val="2E232138"/>
    <w:rsid w:val="2E542DEF"/>
    <w:rsid w:val="2E8B21B7"/>
    <w:rsid w:val="2EA03F79"/>
    <w:rsid w:val="2EB536D8"/>
    <w:rsid w:val="2F0758B9"/>
    <w:rsid w:val="2F3A598B"/>
    <w:rsid w:val="2F4A2072"/>
    <w:rsid w:val="2F9E09F3"/>
    <w:rsid w:val="2FFB0DA3"/>
    <w:rsid w:val="305C7CEA"/>
    <w:rsid w:val="30AE2B11"/>
    <w:rsid w:val="30C2321A"/>
    <w:rsid w:val="30CA33D5"/>
    <w:rsid w:val="30E66382"/>
    <w:rsid w:val="31863561"/>
    <w:rsid w:val="31BC755F"/>
    <w:rsid w:val="31C854D0"/>
    <w:rsid w:val="323D7C6C"/>
    <w:rsid w:val="32601BAD"/>
    <w:rsid w:val="326534AA"/>
    <w:rsid w:val="32F73B78"/>
    <w:rsid w:val="335135B0"/>
    <w:rsid w:val="337201F6"/>
    <w:rsid w:val="33962EB0"/>
    <w:rsid w:val="339A10EE"/>
    <w:rsid w:val="33CA08AA"/>
    <w:rsid w:val="33E466A1"/>
    <w:rsid w:val="33E62733"/>
    <w:rsid w:val="3444542D"/>
    <w:rsid w:val="34C802C0"/>
    <w:rsid w:val="355257BC"/>
    <w:rsid w:val="360D1B6A"/>
    <w:rsid w:val="36201D7F"/>
    <w:rsid w:val="3678790E"/>
    <w:rsid w:val="368077E8"/>
    <w:rsid w:val="368B2999"/>
    <w:rsid w:val="3701395E"/>
    <w:rsid w:val="372F06AE"/>
    <w:rsid w:val="3736112E"/>
    <w:rsid w:val="37734130"/>
    <w:rsid w:val="38903C62"/>
    <w:rsid w:val="38D155B2"/>
    <w:rsid w:val="3A1957AC"/>
    <w:rsid w:val="3AE21327"/>
    <w:rsid w:val="3B2824B1"/>
    <w:rsid w:val="3B417571"/>
    <w:rsid w:val="3B6C3ADB"/>
    <w:rsid w:val="3B8A49B2"/>
    <w:rsid w:val="3BF22009"/>
    <w:rsid w:val="3C033CD5"/>
    <w:rsid w:val="3C631C88"/>
    <w:rsid w:val="3D213332"/>
    <w:rsid w:val="3D26209C"/>
    <w:rsid w:val="3D9F7A2D"/>
    <w:rsid w:val="3E42708C"/>
    <w:rsid w:val="3EA90437"/>
    <w:rsid w:val="3F0062A9"/>
    <w:rsid w:val="3F2C4ACD"/>
    <w:rsid w:val="3F9500F8"/>
    <w:rsid w:val="40BC3218"/>
    <w:rsid w:val="40D75209"/>
    <w:rsid w:val="411E5D27"/>
    <w:rsid w:val="41990C37"/>
    <w:rsid w:val="41B75188"/>
    <w:rsid w:val="42791CDE"/>
    <w:rsid w:val="42B775C7"/>
    <w:rsid w:val="42DB3BFC"/>
    <w:rsid w:val="43182BB7"/>
    <w:rsid w:val="43770B04"/>
    <w:rsid w:val="437D671A"/>
    <w:rsid w:val="43903069"/>
    <w:rsid w:val="440700DA"/>
    <w:rsid w:val="44157E50"/>
    <w:rsid w:val="441601EA"/>
    <w:rsid w:val="44233B99"/>
    <w:rsid w:val="447E358A"/>
    <w:rsid w:val="44D3240E"/>
    <w:rsid w:val="44DB3E5B"/>
    <w:rsid w:val="44E5468B"/>
    <w:rsid w:val="45486BFC"/>
    <w:rsid w:val="456501B7"/>
    <w:rsid w:val="45A50107"/>
    <w:rsid w:val="45C6670C"/>
    <w:rsid w:val="45E615FB"/>
    <w:rsid w:val="462674BE"/>
    <w:rsid w:val="462F1B6A"/>
    <w:rsid w:val="469D2F78"/>
    <w:rsid w:val="46A83CD3"/>
    <w:rsid w:val="46B8390E"/>
    <w:rsid w:val="46B84D3B"/>
    <w:rsid w:val="46C91677"/>
    <w:rsid w:val="46E41D4C"/>
    <w:rsid w:val="473467DE"/>
    <w:rsid w:val="47640ADF"/>
    <w:rsid w:val="478255AC"/>
    <w:rsid w:val="48484B71"/>
    <w:rsid w:val="4851035A"/>
    <w:rsid w:val="495A5863"/>
    <w:rsid w:val="49CA0DC2"/>
    <w:rsid w:val="49D8191E"/>
    <w:rsid w:val="49D8786C"/>
    <w:rsid w:val="4AF018C8"/>
    <w:rsid w:val="4BBC631B"/>
    <w:rsid w:val="4C25217C"/>
    <w:rsid w:val="4C2757BD"/>
    <w:rsid w:val="4C8E75EA"/>
    <w:rsid w:val="4CD25492"/>
    <w:rsid w:val="4D5123C6"/>
    <w:rsid w:val="4D814A59"/>
    <w:rsid w:val="4D9F00EC"/>
    <w:rsid w:val="4DF54920"/>
    <w:rsid w:val="4E7E71EB"/>
    <w:rsid w:val="4ED25209"/>
    <w:rsid w:val="4EFB3856"/>
    <w:rsid w:val="4EFE20DA"/>
    <w:rsid w:val="4F4421E2"/>
    <w:rsid w:val="4F915FEC"/>
    <w:rsid w:val="4FA023CA"/>
    <w:rsid w:val="4FA709C3"/>
    <w:rsid w:val="4FC7696F"/>
    <w:rsid w:val="4FDF68CD"/>
    <w:rsid w:val="508A322D"/>
    <w:rsid w:val="50903205"/>
    <w:rsid w:val="50DC04EE"/>
    <w:rsid w:val="51071719"/>
    <w:rsid w:val="515626A1"/>
    <w:rsid w:val="517E430A"/>
    <w:rsid w:val="51BA4347"/>
    <w:rsid w:val="530F6FAB"/>
    <w:rsid w:val="53D56513"/>
    <w:rsid w:val="53E25216"/>
    <w:rsid w:val="53FF4DBC"/>
    <w:rsid w:val="54482775"/>
    <w:rsid w:val="54636E2E"/>
    <w:rsid w:val="55054B6D"/>
    <w:rsid w:val="552E30B8"/>
    <w:rsid w:val="557A53FC"/>
    <w:rsid w:val="559248AA"/>
    <w:rsid w:val="55AA6B17"/>
    <w:rsid w:val="561670DB"/>
    <w:rsid w:val="56706834"/>
    <w:rsid w:val="56A34DC7"/>
    <w:rsid w:val="56D007FF"/>
    <w:rsid w:val="570A5ABF"/>
    <w:rsid w:val="577E726B"/>
    <w:rsid w:val="57886B88"/>
    <w:rsid w:val="578C4726"/>
    <w:rsid w:val="57A25EB7"/>
    <w:rsid w:val="57F251D7"/>
    <w:rsid w:val="588E631C"/>
    <w:rsid w:val="58A65CBC"/>
    <w:rsid w:val="58DF3299"/>
    <w:rsid w:val="597C5D3F"/>
    <w:rsid w:val="5A05482B"/>
    <w:rsid w:val="5A161C2A"/>
    <w:rsid w:val="5A353546"/>
    <w:rsid w:val="5AB25D4B"/>
    <w:rsid w:val="5AF75339"/>
    <w:rsid w:val="5AF944F6"/>
    <w:rsid w:val="5B2A2F0E"/>
    <w:rsid w:val="5B3B425F"/>
    <w:rsid w:val="5B500161"/>
    <w:rsid w:val="5B623D2B"/>
    <w:rsid w:val="5BC42CE0"/>
    <w:rsid w:val="5C235F76"/>
    <w:rsid w:val="5C9D3DC2"/>
    <w:rsid w:val="5CE0434B"/>
    <w:rsid w:val="5D1C4E8A"/>
    <w:rsid w:val="5D276C9F"/>
    <w:rsid w:val="5D2B606A"/>
    <w:rsid w:val="5D325D70"/>
    <w:rsid w:val="5D867E6A"/>
    <w:rsid w:val="5E014DC5"/>
    <w:rsid w:val="5E4765B4"/>
    <w:rsid w:val="5ED87B48"/>
    <w:rsid w:val="5EE237C6"/>
    <w:rsid w:val="5F104586"/>
    <w:rsid w:val="5F6B37BB"/>
    <w:rsid w:val="5F865A6B"/>
    <w:rsid w:val="5FD274EE"/>
    <w:rsid w:val="6062071A"/>
    <w:rsid w:val="60807D9C"/>
    <w:rsid w:val="60FC5816"/>
    <w:rsid w:val="6131649D"/>
    <w:rsid w:val="61426602"/>
    <w:rsid w:val="61786E15"/>
    <w:rsid w:val="625271B2"/>
    <w:rsid w:val="62646828"/>
    <w:rsid w:val="62857746"/>
    <w:rsid w:val="629A41D2"/>
    <w:rsid w:val="62B14F5E"/>
    <w:rsid w:val="633D2BD8"/>
    <w:rsid w:val="63506F50"/>
    <w:rsid w:val="635C6CCD"/>
    <w:rsid w:val="6468651B"/>
    <w:rsid w:val="646A3EE8"/>
    <w:rsid w:val="64923598"/>
    <w:rsid w:val="650025F4"/>
    <w:rsid w:val="65B71508"/>
    <w:rsid w:val="65F312E0"/>
    <w:rsid w:val="65FE1EF4"/>
    <w:rsid w:val="66554CB2"/>
    <w:rsid w:val="667322A4"/>
    <w:rsid w:val="667512A3"/>
    <w:rsid w:val="668A5502"/>
    <w:rsid w:val="66C919AE"/>
    <w:rsid w:val="66DB2F4A"/>
    <w:rsid w:val="66FA6593"/>
    <w:rsid w:val="6759039D"/>
    <w:rsid w:val="676E3E49"/>
    <w:rsid w:val="67A21D44"/>
    <w:rsid w:val="67EB0BFA"/>
    <w:rsid w:val="6884200E"/>
    <w:rsid w:val="68BA687B"/>
    <w:rsid w:val="69266287"/>
    <w:rsid w:val="69453F13"/>
    <w:rsid w:val="6952484C"/>
    <w:rsid w:val="69786240"/>
    <w:rsid w:val="69E06F59"/>
    <w:rsid w:val="69F220F4"/>
    <w:rsid w:val="69FC50C4"/>
    <w:rsid w:val="6A1C5E06"/>
    <w:rsid w:val="6A3E4C35"/>
    <w:rsid w:val="6A636C96"/>
    <w:rsid w:val="6A750FA2"/>
    <w:rsid w:val="6AA05B7C"/>
    <w:rsid w:val="6AAD2EDA"/>
    <w:rsid w:val="6B617335"/>
    <w:rsid w:val="6B74351B"/>
    <w:rsid w:val="6C017CAC"/>
    <w:rsid w:val="6C3A69EF"/>
    <w:rsid w:val="6C692BA0"/>
    <w:rsid w:val="6C871713"/>
    <w:rsid w:val="6CC572DF"/>
    <w:rsid w:val="6D1A178E"/>
    <w:rsid w:val="6DA50AA8"/>
    <w:rsid w:val="6E3312B1"/>
    <w:rsid w:val="6E5042A8"/>
    <w:rsid w:val="6EA92216"/>
    <w:rsid w:val="6EDF6362"/>
    <w:rsid w:val="6F435BBB"/>
    <w:rsid w:val="6F6F084C"/>
    <w:rsid w:val="6F874C24"/>
    <w:rsid w:val="6F970DA9"/>
    <w:rsid w:val="6F9B379B"/>
    <w:rsid w:val="6FFF3D8F"/>
    <w:rsid w:val="70010ACE"/>
    <w:rsid w:val="70365454"/>
    <w:rsid w:val="70766C0E"/>
    <w:rsid w:val="70871AD7"/>
    <w:rsid w:val="70916FBE"/>
    <w:rsid w:val="7094163E"/>
    <w:rsid w:val="70F57389"/>
    <w:rsid w:val="710E170D"/>
    <w:rsid w:val="71426201"/>
    <w:rsid w:val="71645162"/>
    <w:rsid w:val="72004FC5"/>
    <w:rsid w:val="721E46BD"/>
    <w:rsid w:val="7248040E"/>
    <w:rsid w:val="72A454E4"/>
    <w:rsid w:val="736A3236"/>
    <w:rsid w:val="73F07F4A"/>
    <w:rsid w:val="741915E0"/>
    <w:rsid w:val="747E206E"/>
    <w:rsid w:val="75AF1DE1"/>
    <w:rsid w:val="75B16ECE"/>
    <w:rsid w:val="75D80B91"/>
    <w:rsid w:val="76096A41"/>
    <w:rsid w:val="769010F9"/>
    <w:rsid w:val="769A6A08"/>
    <w:rsid w:val="76BC2ADA"/>
    <w:rsid w:val="76E47C83"/>
    <w:rsid w:val="77075720"/>
    <w:rsid w:val="771C636F"/>
    <w:rsid w:val="779437BB"/>
    <w:rsid w:val="78320EC2"/>
    <w:rsid w:val="78DA051D"/>
    <w:rsid w:val="790B1A57"/>
    <w:rsid w:val="790E2D96"/>
    <w:rsid w:val="79714CEC"/>
    <w:rsid w:val="79DE0088"/>
    <w:rsid w:val="79E63D12"/>
    <w:rsid w:val="7A01558E"/>
    <w:rsid w:val="7A1A32EC"/>
    <w:rsid w:val="7A2D4903"/>
    <w:rsid w:val="7A97325F"/>
    <w:rsid w:val="7B07227A"/>
    <w:rsid w:val="7B120A1C"/>
    <w:rsid w:val="7B187EFC"/>
    <w:rsid w:val="7B2745E3"/>
    <w:rsid w:val="7C2017B1"/>
    <w:rsid w:val="7C615187"/>
    <w:rsid w:val="7C887303"/>
    <w:rsid w:val="7D56365D"/>
    <w:rsid w:val="7DEA3B2D"/>
    <w:rsid w:val="7E07273B"/>
    <w:rsid w:val="7E807F12"/>
    <w:rsid w:val="7EC30B4D"/>
    <w:rsid w:val="7FC317DF"/>
    <w:rsid w:val="7FD0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2"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3">
    <w:name w:val="heading 2"/>
    <w:basedOn w:val="1"/>
    <w:next w:val="1"/>
    <w:link w:val="19"/>
    <w:semiHidden/>
    <w:unhideWhenUsed/>
    <w:qFormat/>
    <w:uiPriority w:val="9"/>
    <w:pPr>
      <w:spacing w:before="240" w:after="120"/>
      <w:contextualSpacing/>
      <w:outlineLvl w:val="1"/>
    </w:pPr>
    <w:rPr>
      <w:b/>
      <w:color w:val="44546A" w:themeColor="text2"/>
      <w:sz w:val="24"/>
      <w:szCs w:val="26"/>
      <w:lang w:val="en-GB"/>
      <w14:textFill>
        <w14:solidFill>
          <w14:schemeClr w14:val="tx2"/>
        </w14:solidFill>
      </w14:textFill>
    </w:rPr>
  </w:style>
  <w:style w:type="paragraph" w:styleId="4">
    <w:name w:val="heading 3"/>
    <w:basedOn w:val="1"/>
    <w:next w:val="1"/>
    <w:qFormat/>
    <w:uiPriority w:val="0"/>
    <w:pPr>
      <w:keepNext/>
      <w:keepLines/>
      <w:numPr>
        <w:ilvl w:val="2"/>
        <w:numId w:val="1"/>
      </w:numPr>
      <w:spacing w:before="120" w:after="120"/>
      <w:outlineLvl w:val="2"/>
    </w:pPr>
    <w:rPr>
      <w:b/>
      <w:bCs/>
      <w:sz w:val="24"/>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2"/>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2">
    <w:name w:val="footnote text"/>
    <w:basedOn w:val="1"/>
    <w:qFormat/>
    <w:uiPriority w:val="0"/>
    <w:pPr>
      <w:snapToGrid w:val="0"/>
      <w:jc w:val="left"/>
    </w:pPr>
    <w:rPr>
      <w:sz w:val="18"/>
    </w:rPr>
  </w:style>
  <w:style w:type="paragraph" w:styleId="13">
    <w:name w:val="toc 2"/>
    <w:basedOn w:val="3"/>
    <w:next w:val="1"/>
    <w:qFormat/>
    <w:uiPriority w:val="39"/>
    <w:pPr>
      <w:keepNext w:val="0"/>
      <w:keepLines w:val="0"/>
      <w:spacing w:before="0" w:after="0" w:line="240" w:lineRule="auto"/>
      <w:ind w:left="210"/>
      <w:jc w:val="left"/>
      <w:outlineLvl w:val="9"/>
    </w:pPr>
    <w:rPr>
      <w:rFonts w:ascii="Times New Roman" w:hAnsi="Times New Roman"/>
      <w:b w:val="0"/>
      <w:smallCaps/>
      <w:sz w:val="20"/>
      <w:szCs w:val="20"/>
    </w:rPr>
  </w:style>
  <w:style w:type="paragraph" w:styleId="14">
    <w:name w:val="Body Text First Indent"/>
    <w:basedOn w:val="7"/>
    <w:qFormat/>
    <w:uiPriority w:val="0"/>
    <w:pPr>
      <w:ind w:firstLine="420" w:firstLineChars="1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qFormat/>
    <w:uiPriority w:val="0"/>
    <w:rPr>
      <w:vertAlign w:val="superscript"/>
    </w:rPr>
  </w:style>
  <w:style w:type="character" w:customStyle="1" w:styleId="19">
    <w:name w:val="标题 2 字符"/>
    <w:basedOn w:val="17"/>
    <w:link w:val="3"/>
    <w:qFormat/>
    <w:uiPriority w:val="0"/>
    <w:rPr>
      <w:rFonts w:ascii="Calibri Light" w:hAnsi="Calibri Light" w:eastAsia="宋体" w:cs="Times New Roman"/>
      <w:b/>
      <w:bCs/>
      <w:sz w:val="32"/>
      <w:szCs w:val="32"/>
      <w:lang w:eastAsia="en-US"/>
    </w:rPr>
  </w:style>
  <w:style w:type="paragraph" w:customStyle="1" w:styleId="20">
    <w:name w:val="无间隔1"/>
    <w:qFormat/>
    <w:uiPriority w:val="0"/>
    <w:rPr>
      <w:rFonts w:ascii="Times New Roman" w:hAnsi="Times New Roman" w:eastAsia="宋体" w:cs="Times New Roman"/>
      <w:sz w:val="22"/>
      <w:szCs w:val="22"/>
      <w:lang w:val="en-US" w:eastAsia="en-US" w:bidi="en-US"/>
    </w:rPr>
  </w:style>
  <w:style w:type="paragraph" w:styleId="21">
    <w:name w:val="List Paragraph"/>
    <w:basedOn w:val="1"/>
    <w:qFormat/>
    <w:uiPriority w:val="34"/>
    <w:pPr>
      <w:spacing w:after="120"/>
      <w:ind w:left="720"/>
      <w:contextualSpacing/>
    </w:pPr>
  </w:style>
  <w:style w:type="paragraph" w:customStyle="1" w:styleId="22">
    <w:name w:val="普通 (Web)"/>
    <w:basedOn w:val="1"/>
    <w:qFormat/>
    <w:uiPriority w:val="0"/>
    <w:pPr>
      <w:spacing w:before="100" w:beforeAutospacing="1" w:after="100" w:afterAutospacing="1"/>
      <w:jc w:val="left"/>
    </w:pPr>
    <w:rPr>
      <w:rFonts w:ascii="宋体" w:hAnsi="宋体"/>
      <w:kern w:val="0"/>
      <w:sz w:val="24"/>
      <w:szCs w:val="20"/>
    </w:rPr>
  </w:style>
  <w:style w:type="paragraph" w:customStyle="1" w:styleId="23">
    <w:name w:val="p0"/>
    <w:basedOn w:val="1"/>
    <w:qFormat/>
    <w:uiPriority w:val="0"/>
    <w:pPr>
      <w:widowControl/>
    </w:pPr>
    <w:rPr>
      <w:kern w:val="0"/>
      <w:szCs w:val="21"/>
    </w:rPr>
  </w:style>
  <w:style w:type="paragraph" w:customStyle="1" w:styleId="24">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6888</Words>
  <Characters>7231</Characters>
  <Lines>39</Lines>
  <Paragraphs>11</Paragraphs>
  <TotalTime>14</TotalTime>
  <ScaleCrop>false</ScaleCrop>
  <LinksUpToDate>false</LinksUpToDate>
  <CharactersWithSpaces>7539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2025-07-21T10:17:00Z</dcterms:created>
  <dc:creator>LD</dc:creator>
  <cp:lastModifiedBy>海鸥</cp:lastModifiedBy>
  <cp:lastPrinted>2025-10-30T03:52:00Z</cp:lastPrinted>
  <dcterms:modified xsi:type="dcterms:W3CDTF">2025-11-07T02:27:52Z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8A4FF13D240441B383C3009630FDBD7F_13</vt:lpwstr>
  </property>
  <property fmtid="{D5CDD505-2E9C-101B-9397-08002B2CF9AE}" pid="4" name="KSOTemplateDocerSaveRecord">
    <vt:lpwstr>eyJoZGlkIjoiODFkOTY4NjU0Yjg0MDE1MGE0OTExYTBhZjM5ZTY2NTMiLCJ1c2VySWQiOiIyNTIwNDE5NDYifQ==</vt:lpwstr>
  </property>
</Properties>
</file>