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b/>
          <w:bCs/>
          <w:sz w:val="32"/>
          <w:szCs w:val="32"/>
          <w:lang w:val="en-US" w:eastAsia="zh-CN"/>
        </w:rPr>
      </w:pPr>
      <w:r>
        <w:rPr>
          <w:rFonts w:hint="eastAsia" w:ascii="仿宋_GB2312" w:hAnsi="宋体" w:eastAsia="仿宋_GB2312"/>
          <w:b/>
          <w:bCs/>
          <w:sz w:val="32"/>
          <w:szCs w:val="32"/>
        </w:rPr>
        <w:t>附件</w:t>
      </w:r>
      <w:r>
        <w:rPr>
          <w:rFonts w:hint="eastAsia" w:ascii="仿宋_GB2312" w:hAnsi="宋体" w:eastAsia="仿宋_GB2312"/>
          <w:b/>
          <w:bCs/>
          <w:sz w:val="32"/>
          <w:szCs w:val="32"/>
          <w:lang w:val="en-US" w:eastAsia="zh-CN"/>
        </w:rPr>
        <w:t>2</w:t>
      </w:r>
    </w:p>
    <w:p>
      <w:pPr>
        <w:pStyle w:val="2"/>
        <w:ind w:left="0" w:leftChars="0" w:firstLine="0" w:firstLineChars="0"/>
        <w:rPr>
          <w:rFonts w:hint="default"/>
          <w:lang w:val="en-US" w:eastAsia="zh-CN"/>
        </w:rPr>
      </w:pPr>
    </w:p>
    <w:p>
      <w:pPr>
        <w:spacing w:line="560" w:lineRule="exact"/>
        <w:jc w:val="center"/>
        <w:rPr>
          <w:rFonts w:ascii="方正小标宋简体" w:eastAsia="方正小标宋简体"/>
          <w:sz w:val="32"/>
        </w:rPr>
      </w:pPr>
      <w:r>
        <w:rPr>
          <w:rFonts w:hint="eastAsia" w:ascii="方正小标宋简体" w:eastAsia="方正小标宋简体"/>
          <w:sz w:val="32"/>
        </w:rPr>
        <w:t>子基金合规性自查表</w:t>
      </w:r>
    </w:p>
    <w:p>
      <w:pPr>
        <w:spacing w:line="560" w:lineRule="exact"/>
        <w:rPr>
          <w:sz w:val="24"/>
          <w:u w:val="single"/>
        </w:rPr>
      </w:pPr>
      <w:r>
        <w:rPr>
          <w:rFonts w:hint="eastAsia"/>
          <w:sz w:val="24"/>
          <w:u w:val="single"/>
        </w:rPr>
        <w:t>拟申报子基金名称：</w:t>
      </w:r>
    </w:p>
    <w:p>
      <w:pPr>
        <w:spacing w:line="560" w:lineRule="exact"/>
        <w:rPr>
          <w:sz w:val="24"/>
          <w:u w:val="single"/>
        </w:rPr>
      </w:pPr>
    </w:p>
    <w:tbl>
      <w:tblPr>
        <w:tblStyle w:val="9"/>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5822"/>
        <w:gridCol w:w="1276"/>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6" w:type="dxa"/>
            <w:gridSpan w:val="2"/>
            <w:vAlign w:val="center"/>
          </w:tcPr>
          <w:p>
            <w:pPr>
              <w:snapToGrid w:val="0"/>
              <w:spacing w:line="400" w:lineRule="exact"/>
              <w:contextualSpacing/>
              <w:jc w:val="center"/>
            </w:pPr>
            <w:r>
              <w:rPr>
                <w:rFonts w:hint="eastAsia"/>
              </w:rPr>
              <w:t>项目</w:t>
            </w:r>
          </w:p>
        </w:tc>
        <w:tc>
          <w:tcPr>
            <w:tcW w:w="1276" w:type="dxa"/>
            <w:vAlign w:val="center"/>
          </w:tcPr>
          <w:p>
            <w:pPr>
              <w:snapToGrid w:val="0"/>
              <w:spacing w:line="400" w:lineRule="exact"/>
              <w:contextualSpacing/>
              <w:jc w:val="center"/>
            </w:pPr>
            <w:r>
              <w:rPr>
                <w:rFonts w:hint="eastAsia"/>
              </w:rPr>
              <w:t>是否符合</w:t>
            </w:r>
          </w:p>
        </w:tc>
        <w:tc>
          <w:tcPr>
            <w:tcW w:w="1502" w:type="dxa"/>
            <w:vAlign w:val="center"/>
          </w:tcPr>
          <w:p>
            <w:pPr>
              <w:snapToGrid w:val="0"/>
              <w:spacing w:line="400" w:lineRule="exact"/>
              <w:contextualSpacing/>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vAlign w:val="center"/>
          </w:tcPr>
          <w:p>
            <w:pPr>
              <w:snapToGrid w:val="0"/>
              <w:spacing w:line="400" w:lineRule="exact"/>
              <w:contextualSpacing/>
              <w:rPr>
                <w:rFonts w:cs="Arial"/>
                <w:szCs w:val="21"/>
              </w:rPr>
            </w:pPr>
            <w:r>
              <w:rPr>
                <w:rFonts w:hint="eastAsia" w:cs="Arial"/>
                <w:szCs w:val="21"/>
              </w:rPr>
              <w:t>一、</w:t>
            </w:r>
            <w:r>
              <w:rPr>
                <w:rFonts w:hint="eastAsia" w:cs="Arial"/>
                <w:szCs w:val="21"/>
                <w:lang w:val="en-US" w:eastAsia="zh-CN"/>
              </w:rPr>
              <w:t>创新基金贰号</w:t>
            </w:r>
            <w:r>
              <w:rPr>
                <w:rFonts w:hint="eastAsia" w:cs="Arial"/>
                <w:szCs w:val="21"/>
              </w:rPr>
              <w:t>参股的子基金应符合以下条件：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基金类型</w:t>
            </w:r>
          </w:p>
        </w:tc>
        <w:tc>
          <w:tcPr>
            <w:tcW w:w="5822" w:type="dxa"/>
            <w:vAlign w:val="center"/>
          </w:tcPr>
          <w:p>
            <w:pPr>
              <w:snapToGrid w:val="0"/>
              <w:spacing w:line="400" w:lineRule="exact"/>
              <w:contextualSpacing/>
            </w:pPr>
            <w:r>
              <w:rPr>
                <w:rFonts w:hint="eastAsia"/>
                <w:highlight w:val="none"/>
              </w:rPr>
              <w:t>直接股权投资方式投资于符合自贸港产业定位的种子期、初创期企业，重点支持专精特新中小企业的投资基金。</w:t>
            </w:r>
          </w:p>
        </w:tc>
        <w:tc>
          <w:tcPr>
            <w:tcW w:w="1276" w:type="dxa"/>
            <w:vAlign w:val="center"/>
          </w:tcPr>
          <w:p>
            <w:pPr>
              <w:keepNext/>
              <w:keepLines/>
              <w:snapToGrid w:val="0"/>
              <w:spacing w:before="260" w:after="260" w:line="400" w:lineRule="exact"/>
              <w:contextualSpacing/>
              <w:rPr>
                <w:rFonts w:cs="Arial"/>
                <w:szCs w:val="21"/>
              </w:rPr>
            </w:pPr>
            <w:bookmarkStart w:id="0" w:name="_GoBack"/>
            <w:bookmarkEnd w:id="0"/>
          </w:p>
        </w:tc>
        <w:tc>
          <w:tcPr>
            <w:tcW w:w="1502" w:type="dxa"/>
            <w:vAlign w:val="center"/>
          </w:tcPr>
          <w:p>
            <w:pPr>
              <w:keepNext/>
              <w:keepLines/>
              <w:snapToGrid w:val="0"/>
              <w:spacing w:before="260" w:after="260" w:line="400" w:lineRule="exact"/>
              <w:contextualSpacing/>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注册地</w:t>
            </w:r>
          </w:p>
        </w:tc>
        <w:tc>
          <w:tcPr>
            <w:tcW w:w="5822" w:type="dxa"/>
            <w:vAlign w:val="center"/>
          </w:tcPr>
          <w:p>
            <w:pPr>
              <w:snapToGrid w:val="0"/>
              <w:spacing w:line="400" w:lineRule="exact"/>
              <w:contextualSpacing/>
            </w:pPr>
            <w:r>
              <w:rPr>
                <w:rFonts w:hint="eastAsia"/>
                <w:lang w:val="en-US" w:eastAsia="zh-CN"/>
              </w:rPr>
              <w:t>海南省</w:t>
            </w:r>
            <w:r>
              <w:rPr>
                <w:rFonts w:hint="eastAsia"/>
              </w:rPr>
              <w:t>。</w:t>
            </w:r>
          </w:p>
        </w:tc>
        <w:tc>
          <w:tcPr>
            <w:tcW w:w="1276" w:type="dxa"/>
            <w:vAlign w:val="center"/>
          </w:tcPr>
          <w:p>
            <w:pPr>
              <w:keepNext/>
              <w:keepLines/>
              <w:snapToGrid w:val="0"/>
              <w:spacing w:before="260" w:after="260" w:line="400" w:lineRule="exact"/>
              <w:contextualSpacing/>
              <w:rPr>
                <w:rFonts w:cs="Arial"/>
                <w:szCs w:val="21"/>
              </w:rPr>
            </w:pPr>
          </w:p>
        </w:tc>
        <w:tc>
          <w:tcPr>
            <w:tcW w:w="1502" w:type="dxa"/>
            <w:vAlign w:val="center"/>
          </w:tcPr>
          <w:p>
            <w:pPr>
              <w:keepNext/>
              <w:keepLines/>
              <w:snapToGrid w:val="0"/>
              <w:spacing w:before="260" w:after="260" w:line="400" w:lineRule="exact"/>
              <w:contextualSpacing/>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jc w:val="center"/>
              <w:rPr>
                <w:sz w:val="18"/>
              </w:rPr>
            </w:pPr>
            <w:r>
              <w:rPr>
                <w:rFonts w:hint="eastAsia"/>
              </w:rPr>
              <w:t>基金规模及出资比例</w:t>
            </w:r>
          </w:p>
        </w:tc>
        <w:tc>
          <w:tcPr>
            <w:tcW w:w="5822" w:type="dxa"/>
            <w:vAlign w:val="center"/>
          </w:tcPr>
          <w:p>
            <w:pPr>
              <w:snapToGrid w:val="0"/>
              <w:spacing w:line="400" w:lineRule="exact"/>
              <w:contextualSpacing/>
              <w:rPr>
                <w:rFonts w:ascii="宋体" w:hAnsi="宋体"/>
                <w:szCs w:val="21"/>
              </w:rPr>
            </w:pPr>
            <w:r>
              <w:rPr>
                <w:rFonts w:hint="eastAsia"/>
              </w:rPr>
              <w:t>子基金规模应与其管理机构的投资能力相匹配，原则上不低于人民币5000万元。</w:t>
            </w:r>
            <w:r>
              <w:rPr>
                <w:rFonts w:hint="eastAsia"/>
                <w:lang w:val="en-US" w:eastAsia="zh-CN"/>
              </w:rPr>
              <w:t>创新基金贰号</w:t>
            </w:r>
            <w:r>
              <w:rPr>
                <w:rFonts w:hint="eastAsia"/>
              </w:rPr>
              <w:t>对单支子基金出资比例原则上不超过子基金规模的50%（含），</w:t>
            </w:r>
            <w:r>
              <w:rPr>
                <w:rFonts w:hint="eastAsia"/>
                <w:lang w:val="en-US" w:eastAsia="zh-CN"/>
              </w:rPr>
              <w:t>出资金额原则上不超过1亿元</w:t>
            </w:r>
            <w:r>
              <w:rPr>
                <w:rFonts w:hint="eastAsia" w:eastAsia="宋体"/>
                <w:lang w:val="en-US" w:eastAsia="zh-CN"/>
              </w:rPr>
              <w:t>，鼓励市场化机构与创新基金及海南省内市县、重点产业园区共同发起子基金。创新基金对子基金的出资原则上予以末位出资到位，子基金涉及国家级、央企或其他省级机构同时出资时除外。</w:t>
            </w:r>
          </w:p>
        </w:tc>
        <w:tc>
          <w:tcPr>
            <w:tcW w:w="1276" w:type="dxa"/>
            <w:vAlign w:val="center"/>
          </w:tcPr>
          <w:p>
            <w:pPr>
              <w:snapToGrid w:val="0"/>
              <w:spacing w:line="400" w:lineRule="exact"/>
              <w:contextualSpacing/>
              <w:rPr>
                <w:rFonts w:cs="Arial"/>
                <w:szCs w:val="21"/>
              </w:rPr>
            </w:pPr>
          </w:p>
        </w:tc>
        <w:tc>
          <w:tcPr>
            <w:tcW w:w="1502" w:type="dxa"/>
            <w:vAlign w:val="center"/>
          </w:tcPr>
          <w:p>
            <w:pPr>
              <w:snapToGrid w:val="0"/>
              <w:spacing w:line="400" w:lineRule="exact"/>
              <w:contextualSpacing/>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存续期限</w:t>
            </w:r>
          </w:p>
        </w:tc>
        <w:tc>
          <w:tcPr>
            <w:tcW w:w="5822" w:type="dxa"/>
            <w:vAlign w:val="center"/>
          </w:tcPr>
          <w:p>
            <w:pPr>
              <w:snapToGrid w:val="0"/>
              <w:spacing w:line="400" w:lineRule="exact"/>
              <w:contextualSpacing/>
              <w:rPr>
                <w:rFonts w:ascii="宋体" w:hAnsi="宋体"/>
                <w:szCs w:val="21"/>
              </w:rPr>
            </w:pPr>
            <w:r>
              <w:rPr>
                <w:rFonts w:hint="eastAsia" w:ascii="宋体" w:hAnsi="宋体"/>
                <w:szCs w:val="21"/>
              </w:rPr>
              <w:t>不超过</w:t>
            </w:r>
            <w:r>
              <w:rPr>
                <w:rFonts w:ascii="宋体" w:hAnsi="宋体"/>
                <w:szCs w:val="21"/>
              </w:rPr>
              <w:t>10年。</w:t>
            </w:r>
          </w:p>
        </w:tc>
        <w:tc>
          <w:tcPr>
            <w:tcW w:w="1276" w:type="dxa"/>
            <w:vAlign w:val="center"/>
          </w:tcPr>
          <w:p>
            <w:pPr>
              <w:keepNext/>
              <w:keepLines/>
              <w:snapToGrid w:val="0"/>
              <w:spacing w:before="260" w:after="260" w:line="400" w:lineRule="exact"/>
              <w:contextualSpacing/>
              <w:rPr>
                <w:rFonts w:cs="Arial"/>
                <w:szCs w:val="21"/>
              </w:rPr>
            </w:pPr>
          </w:p>
        </w:tc>
        <w:tc>
          <w:tcPr>
            <w:tcW w:w="1502" w:type="dxa"/>
            <w:vAlign w:val="center"/>
          </w:tcPr>
          <w:p>
            <w:pPr>
              <w:keepNext/>
              <w:keepLines/>
              <w:snapToGrid w:val="0"/>
              <w:spacing w:before="260" w:after="260" w:line="400" w:lineRule="exact"/>
              <w:contextualSpacing/>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投资标的</w:t>
            </w:r>
          </w:p>
        </w:tc>
        <w:tc>
          <w:tcPr>
            <w:tcW w:w="5822" w:type="dxa"/>
            <w:vAlign w:val="center"/>
          </w:tcPr>
          <w:p>
            <w:pPr>
              <w:snapToGrid w:val="0"/>
              <w:spacing w:line="400" w:lineRule="exact"/>
              <w:contextualSpacing/>
              <w:rPr>
                <w:rFonts w:hint="eastAsia" w:eastAsia="宋体"/>
              </w:rPr>
            </w:pPr>
            <w:r>
              <w:rPr>
                <w:rFonts w:hint="eastAsia" w:eastAsia="宋体"/>
              </w:rPr>
              <w:t>1. 投资产业方向：基金投资方向应符合自贸港产业发展定位，重点支持数字经济、石油化工新材料、现代生物医药、创新医疗器械研发转化、高端装备制造、软件和集成电路、新能源和节能环保等战略性新兴产业，以及深海科技、南繁育种、航天科技、设计产业、高端健康食品加工、热带高效农业等自贸港重点产业发展。</w:t>
            </w:r>
          </w:p>
          <w:p>
            <w:pPr>
              <w:snapToGrid w:val="0"/>
              <w:spacing w:line="400" w:lineRule="exact"/>
              <w:contextualSpacing/>
              <w:rPr>
                <w:rFonts w:hint="eastAsia" w:eastAsia="宋体"/>
              </w:rPr>
            </w:pPr>
            <w:r>
              <w:rPr>
                <w:rFonts w:hint="eastAsia" w:eastAsia="宋体"/>
              </w:rPr>
              <w:t>2. 投资企业阶段：重点支持种子期、初创期创业企业。其中：</w:t>
            </w:r>
          </w:p>
          <w:p>
            <w:pPr>
              <w:snapToGrid w:val="0"/>
              <w:spacing w:line="400" w:lineRule="exact"/>
              <w:contextualSpacing/>
              <w:rPr>
                <w:rFonts w:hint="eastAsia" w:eastAsia="宋体"/>
              </w:rPr>
            </w:pPr>
            <w:r>
              <w:rPr>
                <w:rFonts w:hint="eastAsia" w:eastAsia="宋体"/>
              </w:rPr>
              <w:t>（1）种子期创业企业，是指符合如下条件的企业：拥有原创的专门技术或独特的概念、商业模式，项目主体尚未设立或刚设立但尚未实现利润，所需融资额相对较少。</w:t>
            </w:r>
          </w:p>
          <w:p>
            <w:pPr>
              <w:snapToGrid w:val="0"/>
              <w:spacing w:line="400" w:lineRule="exact"/>
              <w:contextualSpacing/>
              <w:rPr>
                <w:rFonts w:hint="eastAsia" w:eastAsia="宋体"/>
              </w:rPr>
            </w:pPr>
            <w:r>
              <w:rPr>
                <w:rFonts w:hint="eastAsia" w:eastAsia="宋体"/>
              </w:rPr>
              <w:t>（2）初创期创业企业，是指符合如下条件的企业：成立时间不超过7年，职工人数不超过300人，原则上直接从事研究开发的科技人员占职工总数的20%以上，资产总额不超过5000万元人民币，年销售额或营业额不超过5000万元人民币。其他符合财政部出资设立的国家级政府投资基金关于初创期企业最新认定标准、但不符合以上初创期企业认定条件的，可按照“一事一议”方式向</w:t>
            </w:r>
            <w:r>
              <w:rPr>
                <w:rFonts w:hint="eastAsia" w:eastAsia="宋体"/>
                <w:lang w:eastAsia="zh-CN"/>
              </w:rPr>
              <w:t>海南财金集团</w:t>
            </w:r>
            <w:r>
              <w:rPr>
                <w:rFonts w:hint="eastAsia" w:eastAsia="宋体"/>
              </w:rPr>
              <w:t>申请初创期企业认定。</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pStyle w:val="14"/>
              <w:keepNext/>
              <w:keepLines/>
              <w:snapToGrid w:val="0"/>
              <w:spacing w:before="260" w:after="260" w:line="400" w:lineRule="exact"/>
              <w:ind w:left="360" w:firstLine="0" w:firstLineChars="0"/>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keepNext/>
              <w:keepLines/>
              <w:snapToGrid w:val="0"/>
              <w:spacing w:before="260" w:after="260" w:line="400" w:lineRule="exact"/>
              <w:contextualSpacing/>
            </w:pPr>
            <w:r>
              <w:rPr>
                <w:rFonts w:hint="eastAsia"/>
              </w:rPr>
              <w:t>投资地域</w:t>
            </w:r>
          </w:p>
        </w:tc>
        <w:tc>
          <w:tcPr>
            <w:tcW w:w="5822" w:type="dxa"/>
            <w:vAlign w:val="center"/>
          </w:tcPr>
          <w:p>
            <w:pPr>
              <w:snapToGrid w:val="0"/>
              <w:spacing w:line="400" w:lineRule="exact"/>
              <w:contextualSpacing/>
              <w:rPr>
                <w:rFonts w:hint="default" w:eastAsia="宋体"/>
                <w:lang w:val="en-US" w:eastAsia="zh-CN"/>
              </w:rPr>
            </w:pPr>
            <w:r>
              <w:rPr>
                <w:rFonts w:hint="eastAsia" w:eastAsia="宋体"/>
              </w:rPr>
              <w:t>子基金投向的企业符合</w:t>
            </w:r>
            <w:r>
              <w:rPr>
                <w:rFonts w:hint="eastAsia" w:eastAsia="宋体"/>
                <w:lang w:val="en-US" w:eastAsia="zh-CN"/>
              </w:rPr>
              <w:t>上述</w:t>
            </w:r>
            <w:r>
              <w:rPr>
                <w:rFonts w:hint="eastAsia" w:eastAsia="宋体"/>
              </w:rPr>
              <w:t>“</w:t>
            </w:r>
            <w:r>
              <w:rPr>
                <w:rFonts w:hint="eastAsia" w:eastAsia="宋体"/>
                <w:lang w:val="en-US" w:eastAsia="zh-CN"/>
              </w:rPr>
              <w:t>投资标的</w:t>
            </w:r>
            <w:r>
              <w:rPr>
                <w:rFonts w:hint="eastAsia" w:eastAsia="宋体"/>
              </w:rPr>
              <w:t>”要求的投资额度不低于创新基金</w:t>
            </w:r>
            <w:r>
              <w:rPr>
                <w:rFonts w:hint="eastAsia" w:eastAsia="宋体"/>
                <w:lang w:val="en-US" w:eastAsia="zh-CN"/>
              </w:rPr>
              <w:t>贰号</w:t>
            </w:r>
            <w:r>
              <w:rPr>
                <w:rFonts w:hint="eastAsia" w:eastAsia="宋体"/>
              </w:rPr>
              <w:t>对该子基金实缴出资额的1.2倍</w:t>
            </w:r>
            <w:r>
              <w:rPr>
                <w:rFonts w:hint="eastAsia" w:eastAsia="宋体"/>
                <w:lang w:eastAsia="zh-CN"/>
              </w:rPr>
              <w:t>；</w:t>
            </w:r>
            <w:r>
              <w:rPr>
                <w:rFonts w:hint="eastAsia" w:eastAsia="宋体"/>
              </w:rPr>
              <w:t>其中投向符合</w:t>
            </w:r>
            <w:r>
              <w:rPr>
                <w:rFonts w:hint="eastAsia" w:eastAsia="宋体"/>
                <w:lang w:val="en-US" w:eastAsia="zh-CN"/>
              </w:rPr>
              <w:t>上述</w:t>
            </w:r>
            <w:r>
              <w:rPr>
                <w:rFonts w:hint="eastAsia" w:eastAsia="宋体"/>
              </w:rPr>
              <w:t>“</w:t>
            </w:r>
            <w:r>
              <w:rPr>
                <w:rFonts w:hint="eastAsia" w:eastAsia="宋体"/>
                <w:lang w:val="en-US" w:eastAsia="zh-CN"/>
              </w:rPr>
              <w:t>投资标的</w:t>
            </w:r>
            <w:r>
              <w:rPr>
                <w:rFonts w:hint="eastAsia" w:eastAsia="宋体"/>
              </w:rPr>
              <w:t>”要求且为</w:t>
            </w:r>
            <w:r>
              <w:rPr>
                <w:rFonts w:hint="eastAsia" w:eastAsia="宋体"/>
                <w:lang w:val="en-US" w:eastAsia="zh-CN"/>
              </w:rPr>
              <w:t>海南省</w:t>
            </w:r>
            <w:r>
              <w:rPr>
                <w:rFonts w:hint="eastAsia" w:eastAsia="宋体"/>
              </w:rPr>
              <w:t>内企业的金额原则上不低于创新基金出资额</w:t>
            </w:r>
            <w:r>
              <w:rPr>
                <w:rFonts w:hint="eastAsia" w:eastAsia="宋体"/>
                <w:lang w:val="en-US" w:eastAsia="zh-CN"/>
              </w:rPr>
              <w:t>的1倍</w:t>
            </w:r>
            <w:r>
              <w:rPr>
                <w:rFonts w:hint="default" w:eastAsia="宋体"/>
                <w:lang w:val="en-US" w:eastAsia="zh-CN"/>
              </w:rPr>
              <w:t>。</w:t>
            </w:r>
            <w:r>
              <w:rPr>
                <w:rFonts w:hint="eastAsia" w:eastAsia="宋体"/>
              </w:rPr>
              <w:t>子基金向</w:t>
            </w:r>
            <w:r>
              <w:rPr>
                <w:rFonts w:hint="eastAsia" w:eastAsia="宋体"/>
                <w:lang w:val="en-US" w:eastAsia="zh-CN"/>
              </w:rPr>
              <w:t>创新基金以外的</w:t>
            </w:r>
            <w:r>
              <w:rPr>
                <w:rFonts w:hint="eastAsia" w:eastAsia="宋体"/>
              </w:rPr>
              <w:t>海南省内各级</w:t>
            </w:r>
            <w:r>
              <w:rPr>
                <w:rFonts w:hint="eastAsia" w:eastAsia="宋体"/>
                <w:lang w:val="en-US" w:eastAsia="zh-CN"/>
              </w:rPr>
              <w:t>人民</w:t>
            </w:r>
            <w:r>
              <w:rPr>
                <w:rFonts w:hint="eastAsia" w:eastAsia="宋体"/>
              </w:rPr>
              <w:t>政府或</w:t>
            </w:r>
            <w:r>
              <w:rPr>
                <w:rFonts w:hint="eastAsia" w:eastAsia="宋体"/>
                <w:lang w:val="en-US" w:eastAsia="zh-CN"/>
              </w:rPr>
              <w:t>其职能部门、出资代表</w:t>
            </w:r>
            <w:r>
              <w:rPr>
                <w:rFonts w:hint="eastAsia" w:eastAsia="宋体"/>
              </w:rPr>
              <w:t>申请出资的，</w:t>
            </w:r>
            <w:r>
              <w:rPr>
                <w:rFonts w:hint="eastAsia" w:eastAsia="宋体"/>
                <w:lang w:val="en-US" w:eastAsia="zh-CN"/>
              </w:rPr>
              <w:t>创新基金出资部分所要求的返投倍数视情况予以适当提高。</w:t>
            </w:r>
          </w:p>
          <w:p>
            <w:pPr>
              <w:snapToGrid w:val="0"/>
              <w:spacing w:line="400" w:lineRule="exact"/>
              <w:contextualSpacing/>
            </w:pPr>
            <w:r>
              <w:rPr>
                <w:rFonts w:hint="eastAsia" w:eastAsia="宋体"/>
              </w:rPr>
              <w:t>子基金存续期内，在被投企业符合</w:t>
            </w:r>
            <w:r>
              <w:rPr>
                <w:rFonts w:hint="eastAsia" w:eastAsia="宋体"/>
                <w:lang w:eastAsia="zh-CN"/>
              </w:rPr>
              <w:t>《实施方案》和《</w:t>
            </w:r>
            <w:r>
              <w:rPr>
                <w:rFonts w:hint="eastAsia" w:eastAsia="宋体"/>
                <w:lang w:val="en-US" w:eastAsia="zh-CN"/>
              </w:rPr>
              <w:t>遴选办法</w:t>
            </w:r>
            <w:r>
              <w:rPr>
                <w:rFonts w:hint="eastAsia" w:eastAsia="宋体"/>
                <w:lang w:eastAsia="zh-CN"/>
              </w:rPr>
              <w:t>》</w:t>
            </w:r>
            <w:r>
              <w:rPr>
                <w:rFonts w:hint="eastAsia" w:eastAsia="宋体"/>
              </w:rPr>
              <w:t>“基金投资领域”要求的前提下，以下情形的被投企业的投资额计算为子基金投资于在</w:t>
            </w:r>
            <w:r>
              <w:rPr>
                <w:rFonts w:hint="eastAsia" w:eastAsia="宋体"/>
                <w:lang w:val="en-US" w:eastAsia="zh-CN"/>
              </w:rPr>
              <w:t>海南省</w:t>
            </w:r>
            <w:r>
              <w:rPr>
                <w:rFonts w:hint="eastAsia" w:eastAsia="宋体"/>
              </w:rPr>
              <w:t>注册登记企业的投资金额，具体情形请按照</w:t>
            </w:r>
            <w:r>
              <w:rPr>
                <w:rFonts w:hint="eastAsia" w:eastAsia="宋体"/>
                <w:lang w:eastAsia="zh-CN"/>
              </w:rPr>
              <w:t>《</w:t>
            </w:r>
            <w:r>
              <w:rPr>
                <w:rFonts w:hint="eastAsia" w:eastAsia="宋体"/>
                <w:lang w:val="en-US" w:eastAsia="zh-CN"/>
              </w:rPr>
              <w:t>遴选办法</w:t>
            </w:r>
            <w:r>
              <w:rPr>
                <w:rFonts w:hint="eastAsia" w:eastAsia="宋体"/>
                <w:lang w:eastAsia="zh-CN"/>
              </w:rPr>
              <w:t>》</w:t>
            </w:r>
            <w:r>
              <w:rPr>
                <w:rFonts w:hint="eastAsia" w:eastAsia="宋体"/>
              </w:rPr>
              <w:t>第</w:t>
            </w:r>
            <w:r>
              <w:rPr>
                <w:rFonts w:hint="eastAsia" w:eastAsia="宋体"/>
                <w:lang w:val="en-US" w:eastAsia="zh-CN"/>
              </w:rPr>
              <w:t>三</w:t>
            </w:r>
            <w:r>
              <w:rPr>
                <w:rFonts w:hint="eastAsia" w:eastAsia="宋体"/>
              </w:rPr>
              <w:t>条第（</w:t>
            </w:r>
            <w:r>
              <w:rPr>
                <w:rFonts w:hint="eastAsia" w:eastAsia="宋体"/>
                <w:lang w:val="en-US" w:eastAsia="zh-CN"/>
              </w:rPr>
              <w:t>二</w:t>
            </w:r>
            <w:r>
              <w:rPr>
                <w:rFonts w:hint="eastAsia" w:eastAsia="宋体"/>
              </w:rPr>
              <w:t>）款</w:t>
            </w:r>
            <w:r>
              <w:rPr>
                <w:rFonts w:hint="eastAsia"/>
                <w:lang w:val="en-US" w:eastAsia="zh-CN"/>
              </w:rPr>
              <w:t>子基金返投要求</w:t>
            </w:r>
            <w:r>
              <w:rPr>
                <w:rFonts w:hint="eastAsia" w:eastAsia="宋体"/>
              </w:rPr>
              <w:t>执行。</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54" w:type="dxa"/>
            <w:vAlign w:val="center"/>
          </w:tcPr>
          <w:p>
            <w:pPr>
              <w:snapToGrid w:val="0"/>
              <w:spacing w:line="400" w:lineRule="exact"/>
              <w:contextualSpacing/>
            </w:pPr>
            <w:r>
              <w:rPr>
                <w:rFonts w:hint="eastAsia"/>
              </w:rPr>
              <w:t>投资限额</w:t>
            </w:r>
          </w:p>
        </w:tc>
        <w:tc>
          <w:tcPr>
            <w:tcW w:w="5822" w:type="dxa"/>
            <w:vAlign w:val="center"/>
          </w:tcPr>
          <w:p>
            <w:pPr>
              <w:snapToGrid w:val="0"/>
              <w:spacing w:line="400" w:lineRule="exact"/>
              <w:contextualSpacing/>
            </w:pPr>
            <w:r>
              <w:rPr>
                <w:rFonts w:hint="eastAsia"/>
              </w:rPr>
              <w:t>子基金投资单个项目的金额原则上不超过子基金规模的15%</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54" w:type="dxa"/>
            <w:vAlign w:val="center"/>
          </w:tcPr>
          <w:p>
            <w:pPr>
              <w:keepNext/>
              <w:keepLines/>
              <w:snapToGrid w:val="0"/>
              <w:spacing w:before="260" w:after="260" w:line="400" w:lineRule="exact"/>
              <w:contextualSpacing/>
              <w:jc w:val="center"/>
            </w:pPr>
            <w:r>
              <w:rPr>
                <w:rFonts w:hint="eastAsia"/>
              </w:rPr>
              <w:t>子基金管理机构</w:t>
            </w:r>
          </w:p>
        </w:tc>
        <w:tc>
          <w:tcPr>
            <w:tcW w:w="5822" w:type="dxa"/>
            <w:vAlign w:val="center"/>
          </w:tcPr>
          <w:p>
            <w:pPr>
              <w:snapToGrid w:val="0"/>
              <w:spacing w:line="400" w:lineRule="exact"/>
              <w:contextualSpacing/>
              <w:rPr>
                <w:rFonts w:ascii="宋体" w:hAnsi="宋体"/>
                <w:szCs w:val="21"/>
              </w:rPr>
            </w:pPr>
            <w:r>
              <w:rPr>
                <w:rFonts w:hint="eastAsia" w:ascii="宋体" w:hAnsi="宋体"/>
                <w:szCs w:val="21"/>
              </w:rPr>
              <w:t>子基金管理机构及其实际控制人对子基金的认缴出资比例不低于1%。</w:t>
            </w:r>
          </w:p>
        </w:tc>
        <w:tc>
          <w:tcPr>
            <w:tcW w:w="1276" w:type="dxa"/>
            <w:vAlign w:val="center"/>
          </w:tcPr>
          <w:p>
            <w:pPr>
              <w:snapToGrid w:val="0"/>
              <w:spacing w:line="400" w:lineRule="exact"/>
              <w:contextualSpacing/>
              <w:rPr>
                <w:rFonts w:ascii="宋体" w:hAnsi="宋体"/>
                <w:szCs w:val="21"/>
              </w:rPr>
            </w:pPr>
          </w:p>
        </w:tc>
        <w:tc>
          <w:tcPr>
            <w:tcW w:w="1502" w:type="dxa"/>
            <w:vAlign w:val="center"/>
          </w:tcPr>
          <w:p>
            <w:pPr>
              <w:snapToGrid w:val="0"/>
              <w:spacing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后出资</w:t>
            </w:r>
          </w:p>
        </w:tc>
        <w:tc>
          <w:tcPr>
            <w:tcW w:w="5822" w:type="dxa"/>
            <w:vAlign w:val="center"/>
          </w:tcPr>
          <w:p>
            <w:pPr>
              <w:snapToGrid w:val="0"/>
              <w:spacing w:line="400" w:lineRule="exact"/>
              <w:contextualSpacing/>
            </w:pPr>
            <w:r>
              <w:rPr>
                <w:rFonts w:hint="eastAsia" w:ascii="宋体" w:hAnsi="宋体"/>
                <w:szCs w:val="21"/>
                <w:lang w:val="en-US" w:eastAsia="zh-CN"/>
              </w:rPr>
              <w:t>创新基金贰号</w:t>
            </w:r>
            <w:r>
              <w:rPr>
                <w:rFonts w:hint="eastAsia" w:ascii="宋体" w:hAnsi="宋体"/>
                <w:szCs w:val="21"/>
              </w:rPr>
              <w:t>有权在子基金其他投资人实缴出资后，再履行对应出资义务</w:t>
            </w:r>
            <w:r>
              <w:rPr>
                <w:rFonts w:hint="eastAsia" w:ascii="宋体" w:hAnsi="宋体"/>
                <w:szCs w:val="21"/>
                <w:lang w:eastAsia="zh-CN"/>
              </w:rPr>
              <w:t>，</w:t>
            </w:r>
            <w:r>
              <w:rPr>
                <w:rFonts w:hint="eastAsia" w:ascii="宋体" w:hAnsi="宋体"/>
                <w:szCs w:val="21"/>
                <w:lang w:val="en-US" w:eastAsia="zh-CN"/>
              </w:rPr>
              <w:t>予以末位出资到位</w:t>
            </w:r>
            <w:r>
              <w:rPr>
                <w:rFonts w:hint="eastAsia" w:ascii="宋体" w:hAnsi="宋体"/>
                <w:szCs w:val="21"/>
              </w:rPr>
              <w:t>。</w:t>
            </w:r>
          </w:p>
        </w:tc>
        <w:tc>
          <w:tcPr>
            <w:tcW w:w="1276" w:type="dxa"/>
            <w:vAlign w:val="center"/>
          </w:tcPr>
          <w:p>
            <w:pPr>
              <w:keepNext/>
              <w:keepLines/>
              <w:snapToGrid w:val="0"/>
              <w:spacing w:before="260" w:after="260" w:line="400" w:lineRule="exact"/>
              <w:contextualSpacing/>
              <w:rPr>
                <w:rFonts w:ascii="宋体" w:hAnsi="宋体"/>
                <w:szCs w:val="21"/>
              </w:rPr>
            </w:pPr>
          </w:p>
        </w:tc>
        <w:tc>
          <w:tcPr>
            <w:tcW w:w="1502" w:type="dxa"/>
            <w:vAlign w:val="center"/>
          </w:tcPr>
          <w:p>
            <w:pPr>
              <w:keepNext/>
              <w:keepLines/>
              <w:snapToGrid w:val="0"/>
              <w:spacing w:before="260" w:after="260"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54" w:type="dxa"/>
            <w:vAlign w:val="center"/>
          </w:tcPr>
          <w:p>
            <w:pPr>
              <w:snapToGrid w:val="0"/>
              <w:spacing w:line="400" w:lineRule="exact"/>
              <w:contextualSpacing/>
            </w:pPr>
            <w:r>
              <w:rPr>
                <w:rFonts w:hint="eastAsia"/>
              </w:rPr>
              <w:t>管理费</w:t>
            </w:r>
          </w:p>
        </w:tc>
        <w:tc>
          <w:tcPr>
            <w:tcW w:w="5822" w:type="dxa"/>
            <w:vAlign w:val="center"/>
          </w:tcPr>
          <w:p>
            <w:pPr>
              <w:snapToGrid w:val="0"/>
              <w:spacing w:line="400" w:lineRule="exact"/>
              <w:contextualSpacing/>
              <w:rPr>
                <w:rFonts w:ascii="宋体" w:hAnsi="宋体"/>
                <w:szCs w:val="21"/>
              </w:rPr>
            </w:pPr>
            <w:r>
              <w:rPr>
                <w:rFonts w:hint="eastAsia" w:eastAsia="宋体"/>
              </w:rPr>
              <w:t>子基金管理机构的管理费计提规则应区分投资期和退出期。其中，投资期以子基金实缴规模作为计提基数，原则上每年按照不超过实缴规模的2.5%收取管理费</w:t>
            </w:r>
            <w:r>
              <w:rPr>
                <w:rFonts w:hint="eastAsia" w:eastAsia="宋体"/>
                <w:lang w:val="en-US" w:eastAsia="zh-CN"/>
              </w:rPr>
              <w:t>；投资期内，子基金实缴规模应与子基金的投资计划相匹配，创新基金对子基金的首期实缴原则上不超过其认缴规模的30%</w:t>
            </w:r>
            <w:r>
              <w:rPr>
                <w:rFonts w:hint="eastAsia" w:eastAsia="宋体"/>
                <w:lang w:eastAsia="zh-CN"/>
              </w:rPr>
              <w:t>。</w:t>
            </w:r>
            <w:r>
              <w:rPr>
                <w:rFonts w:hint="eastAsia" w:eastAsia="宋体"/>
              </w:rPr>
              <w:t>退出期以子基金未退出金额作为计提基数，计提规则由</w:t>
            </w:r>
            <w:r>
              <w:rPr>
                <w:rFonts w:hint="eastAsia" w:eastAsia="宋体"/>
                <w:lang w:eastAsia="zh-CN"/>
              </w:rPr>
              <w:t>创新基金</w:t>
            </w:r>
            <w:r>
              <w:rPr>
                <w:rFonts w:hint="eastAsia" w:eastAsia="宋体"/>
              </w:rPr>
              <w:t>管理机构与子基金管理机构根据行业惯例协商确定，每年计提比例原则上不应高于投资期管理费计提比例。</w:t>
            </w:r>
          </w:p>
        </w:tc>
        <w:tc>
          <w:tcPr>
            <w:tcW w:w="1276" w:type="dxa"/>
            <w:vAlign w:val="center"/>
          </w:tcPr>
          <w:p>
            <w:pPr>
              <w:snapToGrid w:val="0"/>
              <w:spacing w:line="400" w:lineRule="exact"/>
              <w:contextualSpacing/>
              <w:rPr>
                <w:rFonts w:ascii="宋体" w:hAnsi="宋体"/>
                <w:szCs w:val="21"/>
              </w:rPr>
            </w:pPr>
          </w:p>
        </w:tc>
        <w:tc>
          <w:tcPr>
            <w:tcW w:w="1502" w:type="dxa"/>
            <w:vAlign w:val="center"/>
          </w:tcPr>
          <w:p>
            <w:pPr>
              <w:snapToGrid w:val="0"/>
              <w:spacing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收益分配</w:t>
            </w:r>
          </w:p>
        </w:tc>
        <w:tc>
          <w:tcPr>
            <w:tcW w:w="5822" w:type="dxa"/>
            <w:vAlign w:val="center"/>
          </w:tcPr>
          <w:p>
            <w:pPr>
              <w:spacing w:line="276" w:lineRule="auto"/>
              <w:rPr>
                <w:rFonts w:hint="default" w:ascii="宋体" w:hAnsi="宋体" w:eastAsia="楷体"/>
                <w:szCs w:val="21"/>
                <w:lang w:val="en-US" w:eastAsia="zh-CN"/>
              </w:rPr>
            </w:pPr>
            <w:r>
              <w:rPr>
                <w:rFonts w:hint="eastAsia" w:ascii="宋体" w:hAnsi="宋体"/>
                <w:szCs w:val="21"/>
                <w:highlight w:val="none"/>
              </w:rPr>
              <w:t>子基金一般采取先回本后分利的分配原则进行收益分配</w:t>
            </w:r>
            <w:r>
              <w:rPr>
                <w:rFonts w:hint="eastAsia" w:ascii="宋体" w:hAnsi="宋体"/>
                <w:szCs w:val="21"/>
                <w:highlight w:val="none"/>
                <w:lang w:eastAsia="zh-CN"/>
              </w:rPr>
              <w:t>，</w:t>
            </w:r>
            <w:r>
              <w:rPr>
                <w:rFonts w:hint="eastAsia" w:ascii="宋体" w:hAnsi="宋体"/>
                <w:szCs w:val="21"/>
                <w:highlight w:val="none"/>
                <w:lang w:val="en-US" w:eastAsia="zh-CN"/>
              </w:rPr>
              <w:t>具体方式在合伙协议中约定。</w:t>
            </w:r>
          </w:p>
        </w:tc>
        <w:tc>
          <w:tcPr>
            <w:tcW w:w="1276" w:type="dxa"/>
            <w:vAlign w:val="center"/>
          </w:tcPr>
          <w:p>
            <w:pPr>
              <w:snapToGrid w:val="0"/>
              <w:spacing w:line="400" w:lineRule="exact"/>
              <w:contextualSpacing/>
              <w:rPr>
                <w:rFonts w:ascii="宋体" w:hAnsi="宋体"/>
                <w:szCs w:val="21"/>
              </w:rPr>
            </w:pPr>
          </w:p>
        </w:tc>
        <w:tc>
          <w:tcPr>
            <w:tcW w:w="1502" w:type="dxa"/>
            <w:vAlign w:val="center"/>
          </w:tcPr>
          <w:p>
            <w:pPr>
              <w:snapToGrid w:val="0"/>
              <w:spacing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jc w:val="center"/>
            </w:pPr>
            <w:r>
              <w:rPr>
                <w:rFonts w:hint="eastAsia"/>
              </w:rPr>
              <w:t>回购及让利约定</w:t>
            </w:r>
          </w:p>
        </w:tc>
        <w:tc>
          <w:tcPr>
            <w:tcW w:w="5822" w:type="dxa"/>
            <w:vAlign w:val="center"/>
          </w:tcPr>
          <w:p>
            <w:pPr>
              <w:spacing w:line="276" w:lineRule="auto"/>
              <w:rPr>
                <w:rFonts w:hint="eastAsia" w:ascii="宋体" w:hAnsi="宋体"/>
                <w:szCs w:val="21"/>
              </w:rPr>
            </w:pPr>
            <w:r>
              <w:rPr>
                <w:rFonts w:hint="eastAsia" w:ascii="宋体" w:hAnsi="宋体"/>
                <w:szCs w:val="21"/>
              </w:rPr>
              <w:t>为更好地发挥政府资金的引导作用，</w:t>
            </w:r>
            <w:r>
              <w:rPr>
                <w:rFonts w:hint="eastAsia" w:ascii="宋体" w:hAnsi="宋体"/>
                <w:szCs w:val="21"/>
                <w:lang w:eastAsia="zh-CN"/>
              </w:rPr>
              <w:t>创新基金</w:t>
            </w:r>
            <w:r>
              <w:rPr>
                <w:rFonts w:hint="eastAsia" w:ascii="宋体" w:hAnsi="宋体"/>
                <w:szCs w:val="21"/>
              </w:rPr>
              <w:t>对参股的子基金设置激励机制。子基金可以在以下激励方式中任选其一：</w:t>
            </w:r>
          </w:p>
          <w:p>
            <w:pPr>
              <w:spacing w:line="276" w:lineRule="auto"/>
              <w:rPr>
                <w:rFonts w:hint="eastAsia" w:ascii="宋体" w:hAnsi="宋体"/>
                <w:szCs w:val="21"/>
              </w:rPr>
            </w:pPr>
            <w:r>
              <w:rPr>
                <w:rFonts w:hint="eastAsia" w:ascii="宋体" w:hAnsi="宋体"/>
                <w:szCs w:val="21"/>
                <w:lang w:val="en-US" w:eastAsia="zh-CN"/>
              </w:rPr>
              <w:t xml:space="preserve">1. </w:t>
            </w:r>
            <w:r>
              <w:rPr>
                <w:rFonts w:hint="eastAsia" w:ascii="宋体" w:hAnsi="宋体"/>
                <w:szCs w:val="21"/>
              </w:rPr>
              <w:t>回购方式。子基金存续期内，鼓励子基金出资方或其他投资者购买</w:t>
            </w:r>
            <w:r>
              <w:rPr>
                <w:rFonts w:hint="eastAsia" w:ascii="宋体" w:hAnsi="宋体"/>
                <w:szCs w:val="21"/>
                <w:lang w:eastAsia="zh-CN"/>
              </w:rPr>
              <w:t>创新基金</w:t>
            </w:r>
            <w:r>
              <w:rPr>
                <w:rFonts w:hint="eastAsia" w:ascii="宋体" w:hAnsi="宋体"/>
                <w:szCs w:val="21"/>
              </w:rPr>
              <w:t>所持子基金份额。同等条件下，子基金出资方优先购买。在子基金注册之日起3年内（含3年）购买的，以</w:t>
            </w:r>
            <w:r>
              <w:rPr>
                <w:rFonts w:hint="eastAsia" w:ascii="宋体" w:hAnsi="宋体"/>
                <w:szCs w:val="21"/>
                <w:lang w:eastAsia="zh-CN"/>
              </w:rPr>
              <w:t>创新基金</w:t>
            </w:r>
            <w:r>
              <w:rPr>
                <w:rFonts w:hint="eastAsia" w:ascii="宋体" w:hAnsi="宋体"/>
                <w:szCs w:val="21"/>
              </w:rPr>
              <w:t>原始出资额及按照2%年单利利率计算的利息之和转让；3年以上、5年以内（含5年）购买的，以</w:t>
            </w:r>
            <w:r>
              <w:rPr>
                <w:rFonts w:hint="eastAsia" w:ascii="宋体" w:hAnsi="宋体"/>
                <w:szCs w:val="21"/>
                <w:lang w:eastAsia="zh-CN"/>
              </w:rPr>
              <w:t>创新基金</w:t>
            </w:r>
            <w:r>
              <w:rPr>
                <w:rFonts w:hint="eastAsia" w:ascii="宋体" w:hAnsi="宋体"/>
                <w:szCs w:val="21"/>
              </w:rPr>
              <w:t>原始出资额及前3年按照2%年单利利率计算的利息之和与第4年起按照转让时1年期LPR（贷款市场报价利率）计算的利息之和转让；超过5年的，转让价格根据同股同权原则以市场化方式确定。享受该项政策需满足子基金份额转让时子基金已达到</w:t>
            </w:r>
            <w:r>
              <w:rPr>
                <w:rFonts w:hint="eastAsia" w:ascii="宋体" w:hAnsi="宋体"/>
                <w:szCs w:val="21"/>
                <w:lang w:eastAsia="zh-CN"/>
              </w:rPr>
              <w:t>《实施方案》和《</w:t>
            </w:r>
            <w:r>
              <w:rPr>
                <w:rFonts w:hint="eastAsia" w:ascii="宋体" w:hAnsi="宋体"/>
                <w:szCs w:val="21"/>
                <w:lang w:val="en-US" w:eastAsia="zh-CN"/>
              </w:rPr>
              <w:t>遴选办法</w:t>
            </w:r>
            <w:r>
              <w:rPr>
                <w:rFonts w:hint="eastAsia" w:ascii="宋体" w:hAnsi="宋体"/>
                <w:szCs w:val="21"/>
                <w:lang w:eastAsia="zh-CN"/>
              </w:rPr>
              <w:t>》</w:t>
            </w:r>
            <w:r>
              <w:rPr>
                <w:rFonts w:hint="eastAsia" w:ascii="宋体" w:hAnsi="宋体"/>
                <w:szCs w:val="21"/>
              </w:rPr>
              <w:t>规定的返投要求。</w:t>
            </w:r>
          </w:p>
          <w:p>
            <w:pPr>
              <w:spacing w:line="276" w:lineRule="auto"/>
              <w:rPr>
                <w:rFonts w:ascii="宋体" w:hAnsi="宋体"/>
                <w:szCs w:val="21"/>
              </w:rPr>
            </w:pPr>
            <w:r>
              <w:rPr>
                <w:rFonts w:hint="eastAsia" w:ascii="宋体" w:hAnsi="宋体"/>
                <w:szCs w:val="21"/>
                <w:lang w:val="en-US" w:eastAsia="zh-CN"/>
              </w:rPr>
              <w:t xml:space="preserve">2. </w:t>
            </w:r>
            <w:r>
              <w:rPr>
                <w:rFonts w:hint="eastAsia" w:ascii="宋体" w:hAnsi="宋体"/>
                <w:szCs w:val="21"/>
              </w:rPr>
              <w:t>让利方式。</w:t>
            </w:r>
            <w:r>
              <w:rPr>
                <w:rFonts w:hint="eastAsia" w:ascii="宋体" w:hAnsi="宋体"/>
                <w:szCs w:val="21"/>
                <w:lang w:eastAsia="zh-CN"/>
              </w:rPr>
              <w:t>创新基金</w:t>
            </w:r>
            <w:r>
              <w:rPr>
                <w:rFonts w:hint="eastAsia" w:ascii="宋体" w:hAnsi="宋体"/>
                <w:szCs w:val="21"/>
              </w:rPr>
              <w:t>以获得的超额收益为限，按子基金返投任务完成情况对子基金管理机构和其他出资人实行分档让利。子基金投向符合“基金投资领域”且为自贸港内企业的投资金额达到</w:t>
            </w:r>
            <w:r>
              <w:rPr>
                <w:rFonts w:hint="eastAsia" w:ascii="宋体" w:hAnsi="宋体"/>
                <w:szCs w:val="21"/>
                <w:lang w:eastAsia="zh-CN"/>
              </w:rPr>
              <w:t>创新基金</w:t>
            </w:r>
            <w:r>
              <w:rPr>
                <w:rFonts w:hint="eastAsia" w:ascii="宋体" w:hAnsi="宋体"/>
                <w:szCs w:val="21"/>
              </w:rPr>
              <w:t>出资额1倍、1.5倍和2倍，</w:t>
            </w:r>
            <w:r>
              <w:rPr>
                <w:rFonts w:hint="eastAsia" w:ascii="宋体" w:hAnsi="宋体"/>
                <w:szCs w:val="21"/>
                <w:lang w:eastAsia="zh-CN"/>
              </w:rPr>
              <w:t>创新基金</w:t>
            </w:r>
            <w:r>
              <w:rPr>
                <w:rFonts w:hint="eastAsia" w:ascii="宋体" w:hAnsi="宋体"/>
                <w:szCs w:val="21"/>
              </w:rPr>
              <w:t>可分别将该子基金投资所得超额收益的40%、60%和80%进行让利</w:t>
            </w:r>
            <w:r>
              <w:rPr>
                <w:rFonts w:hint="eastAsia" w:ascii="宋体" w:hAnsi="宋体"/>
                <w:szCs w:val="21"/>
                <w:lang w:eastAsia="zh-CN"/>
              </w:rPr>
              <w:t>。</w:t>
            </w:r>
          </w:p>
        </w:tc>
        <w:tc>
          <w:tcPr>
            <w:tcW w:w="1276" w:type="dxa"/>
            <w:vAlign w:val="center"/>
          </w:tcPr>
          <w:p>
            <w:pPr>
              <w:snapToGrid w:val="0"/>
              <w:spacing w:line="400" w:lineRule="exact"/>
              <w:contextualSpacing/>
              <w:rPr>
                <w:rFonts w:ascii="宋体" w:hAnsi="宋体"/>
                <w:szCs w:val="21"/>
              </w:rPr>
            </w:pPr>
          </w:p>
        </w:tc>
        <w:tc>
          <w:tcPr>
            <w:tcW w:w="1502" w:type="dxa"/>
            <w:vAlign w:val="center"/>
          </w:tcPr>
          <w:p>
            <w:pPr>
              <w:snapToGrid w:val="0"/>
              <w:spacing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社会出资</w:t>
            </w:r>
          </w:p>
        </w:tc>
        <w:tc>
          <w:tcPr>
            <w:tcW w:w="5822" w:type="dxa"/>
            <w:vAlign w:val="center"/>
          </w:tcPr>
          <w:p>
            <w:pPr>
              <w:snapToGrid w:val="0"/>
              <w:spacing w:line="400" w:lineRule="exact"/>
              <w:contextualSpacing/>
            </w:pPr>
            <w:r>
              <w:rPr>
                <w:rFonts w:hint="eastAsia"/>
              </w:rPr>
              <w:t>子基金管理机构应向</w:t>
            </w:r>
            <w:r>
              <w:rPr>
                <w:rFonts w:hint="eastAsia"/>
                <w:highlight w:val="none"/>
              </w:rPr>
              <w:t>《私募投资基金监督管理暂行办法》</w:t>
            </w:r>
            <w:r>
              <w:rPr>
                <w:rFonts w:hint="eastAsia"/>
              </w:rPr>
              <w:t>等所规定的合格投资者募集资金。以合伙企业、契约等非法人形式，通过汇集投资者的资金直接或者间接投资于子基金的，子基金管理机构应当穿透核查最终投资者是否为合格投资者，并合并计算投资者人数。子基金管理机构应当勤勉尽责，核实各出资人是否符合国家相关政策法规规定的合格投资者要求；</w:t>
            </w:r>
            <w:r>
              <w:rPr>
                <w:rFonts w:hint="eastAsia"/>
                <w:lang w:val="en-US" w:eastAsia="zh-CN"/>
              </w:rPr>
              <w:t>创新基金贰号</w:t>
            </w:r>
            <w:r>
              <w:rPr>
                <w:rFonts w:hint="eastAsia"/>
              </w:rPr>
              <w:t>申报方案由子基金申请机构负责提交。申请新设子基金的，子基金申请机构在提交基金申报方案时，须至少已经募集到拟设立子基金总规模的</w:t>
            </w:r>
            <w:r>
              <w:t>30%资金（不含</w:t>
            </w:r>
            <w:r>
              <w:rPr>
                <w:rFonts w:hint="eastAsia"/>
                <w:lang w:val="en-US" w:eastAsia="zh-CN"/>
              </w:rPr>
              <w:t>创新基金贰号</w:t>
            </w:r>
            <w:r>
              <w:t>出资部分），并提供拟出资人的出资承诺函、出资能力证明等材料（</w:t>
            </w:r>
            <w:r>
              <w:rPr>
                <w:rFonts w:hint="eastAsia"/>
              </w:rPr>
              <w:t>拟出资人为各级人民政府或其职能部门直接出资的政府投资基金除外，但应提供同等效力的证明材料），</w:t>
            </w:r>
            <w:r>
              <w:t>子基金申报方案获得通过后，在签署合伙协议(或公司章程）时，该申报方案中已承诺出资的社会出资人变动调整不得超过50%</w:t>
            </w:r>
            <w:r>
              <w:rPr>
                <w:rFonts w:hint="eastAsia"/>
              </w:rPr>
              <w:t>。</w:t>
            </w:r>
          </w:p>
        </w:tc>
        <w:tc>
          <w:tcPr>
            <w:tcW w:w="1276" w:type="dxa"/>
            <w:vAlign w:val="center"/>
          </w:tcPr>
          <w:p>
            <w:pPr>
              <w:keepNext/>
              <w:keepLines/>
              <w:snapToGrid w:val="0"/>
              <w:spacing w:before="260" w:after="260" w:line="400" w:lineRule="exact"/>
              <w:contextualSpacing/>
              <w:rPr>
                <w:rFonts w:ascii="宋体" w:hAnsi="宋体"/>
                <w:szCs w:val="21"/>
              </w:rPr>
            </w:pPr>
          </w:p>
        </w:tc>
        <w:tc>
          <w:tcPr>
            <w:tcW w:w="1502" w:type="dxa"/>
            <w:vAlign w:val="center"/>
          </w:tcPr>
          <w:p>
            <w:pPr>
              <w:keepNext/>
              <w:keepLines/>
              <w:snapToGrid w:val="0"/>
              <w:spacing w:before="260" w:after="260" w:line="40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vAlign w:val="center"/>
          </w:tcPr>
          <w:p>
            <w:pPr>
              <w:snapToGrid w:val="0"/>
              <w:spacing w:line="400" w:lineRule="exact"/>
              <w:contextualSpacing/>
              <w:rPr>
                <w:rFonts w:ascii="宋体" w:hAnsi="宋体"/>
                <w:szCs w:val="21"/>
              </w:rPr>
            </w:pPr>
            <w:r>
              <w:rPr>
                <w:rFonts w:ascii="宋体" w:hAnsi="宋体"/>
                <w:szCs w:val="21"/>
              </w:rPr>
              <w:t>二</w:t>
            </w:r>
            <w:r>
              <w:rPr>
                <w:rFonts w:hint="eastAsia" w:ascii="宋体" w:hAnsi="宋体"/>
                <w:szCs w:val="21"/>
              </w:rPr>
              <w:t>、</w:t>
            </w:r>
            <w:r>
              <w:rPr>
                <w:rFonts w:ascii="宋体" w:hAnsi="宋体"/>
                <w:szCs w:val="21"/>
              </w:rPr>
              <w:t>子基金管理机构应符合以下条件</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restart"/>
            <w:vAlign w:val="center"/>
          </w:tcPr>
          <w:p>
            <w:pPr>
              <w:snapToGrid w:val="0"/>
              <w:spacing w:line="400" w:lineRule="exact"/>
              <w:contextualSpacing/>
            </w:pPr>
            <w:r>
              <w:rPr>
                <w:rFonts w:hint="eastAsia"/>
              </w:rPr>
              <w:t>运营资质</w:t>
            </w:r>
          </w:p>
        </w:tc>
        <w:tc>
          <w:tcPr>
            <w:tcW w:w="5822" w:type="dxa"/>
            <w:vAlign w:val="center"/>
          </w:tcPr>
          <w:p>
            <w:pPr>
              <w:snapToGrid w:val="0"/>
              <w:spacing w:line="400" w:lineRule="exact"/>
              <w:contextualSpacing/>
            </w:pPr>
            <w:r>
              <w:rPr>
                <w:rFonts w:hint="eastAsia"/>
              </w:rPr>
              <w:t>依法设立，有固定营业场所，以及与其业务相适应的软硬件设施。</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keepNext/>
              <w:keepLines/>
              <w:snapToGrid w:val="0"/>
              <w:spacing w:before="260" w:after="260" w:line="400" w:lineRule="exact"/>
              <w:contextualSpacing/>
            </w:pPr>
          </w:p>
        </w:tc>
        <w:tc>
          <w:tcPr>
            <w:tcW w:w="5822" w:type="dxa"/>
            <w:vAlign w:val="center"/>
          </w:tcPr>
          <w:p>
            <w:pPr>
              <w:spacing w:line="276" w:lineRule="auto"/>
            </w:pPr>
            <w:r>
              <w:rPr>
                <w:rFonts w:hint="eastAsia"/>
              </w:rPr>
              <w:t>子基金管理机构须在中国境内依法设立（鼓励在自贸港注册或设立办事处）</w:t>
            </w:r>
            <w:r>
              <w:rPr>
                <w:rFonts w:hint="eastAsia"/>
                <w:lang w:eastAsia="zh-CN"/>
              </w:rPr>
              <w:t>，</w:t>
            </w:r>
            <w:r>
              <w:rPr>
                <w:rFonts w:hint="eastAsia"/>
              </w:rPr>
              <w:t>注册资本原则上不低于1000万元人民币。</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snapToGrid w:val="0"/>
              <w:spacing w:line="400" w:lineRule="exact"/>
              <w:contextualSpacing/>
            </w:pPr>
          </w:p>
        </w:tc>
        <w:tc>
          <w:tcPr>
            <w:tcW w:w="5822" w:type="dxa"/>
            <w:vAlign w:val="center"/>
          </w:tcPr>
          <w:p>
            <w:pPr>
              <w:snapToGrid w:val="0"/>
              <w:spacing w:line="400" w:lineRule="exact"/>
              <w:contextualSpacing/>
            </w:pPr>
            <w:r>
              <w:rPr>
                <w:rFonts w:hint="eastAsia"/>
              </w:rPr>
              <w:t>子基金管理机构具备中国证券投资基金业协会私募股权、创业投资基金管理人资格。</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restart"/>
            <w:vAlign w:val="center"/>
          </w:tcPr>
          <w:p>
            <w:pPr>
              <w:snapToGrid w:val="0"/>
              <w:spacing w:line="400" w:lineRule="exact"/>
              <w:contextualSpacing/>
            </w:pPr>
            <w:r>
              <w:rPr>
                <w:rFonts w:hint="eastAsia"/>
              </w:rPr>
              <w:t>管理团队</w:t>
            </w:r>
          </w:p>
        </w:tc>
        <w:tc>
          <w:tcPr>
            <w:tcW w:w="5822" w:type="dxa"/>
            <w:vAlign w:val="center"/>
          </w:tcPr>
          <w:p>
            <w:pPr>
              <w:spacing w:line="276" w:lineRule="auto"/>
              <w:rPr>
                <w:rFonts w:ascii="宋体" w:hAnsi="宋体"/>
                <w:szCs w:val="21"/>
              </w:rPr>
            </w:pPr>
            <w:r>
              <w:rPr>
                <w:rFonts w:hint="eastAsia"/>
              </w:rPr>
              <w:t>子基金管理团队具有超过5年创业投资管理工作经验的专职高级管理人员。高级管理人员是指子基金管理机构</w:t>
            </w:r>
            <w:r>
              <w:rPr>
                <w:rFonts w:hint="eastAsia"/>
                <w:lang w:val="en-US" w:eastAsia="zh-CN"/>
              </w:rPr>
              <w:t>的</w:t>
            </w:r>
            <w:r>
              <w:rPr>
                <w:rFonts w:hint="eastAsia"/>
              </w:rPr>
              <w:t>董事长、总经理、副总经理、执行事务合伙人（委派代表）、合规风控负责人以及实际履行上述职务的其他人员。</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snapToGrid w:val="0"/>
              <w:spacing w:line="400" w:lineRule="exact"/>
              <w:contextualSpacing/>
            </w:pPr>
          </w:p>
        </w:tc>
        <w:tc>
          <w:tcPr>
            <w:tcW w:w="5822" w:type="dxa"/>
            <w:vAlign w:val="center"/>
          </w:tcPr>
          <w:p>
            <w:pPr>
              <w:snapToGrid w:val="0"/>
              <w:spacing w:line="400" w:lineRule="exact"/>
              <w:contextualSpacing/>
            </w:pPr>
            <w:r>
              <w:rPr>
                <w:rFonts w:hint="eastAsia"/>
              </w:rPr>
              <w:t>管理团队主要成员无受过行政主管机关或司法机关处罚的不良记录。</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管理机构核心团队及高级管理人员无犯罪记录。</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rPr>
                <w:rFonts w:hint="eastAsia"/>
              </w:rPr>
            </w:pPr>
            <w:r>
              <w:rPr>
                <w:rFonts w:hint="eastAsia"/>
              </w:rPr>
              <w:t>管理</w:t>
            </w:r>
            <w:r>
              <w:rPr>
                <w:rFonts w:hint="eastAsia"/>
                <w:lang w:val="en-US" w:eastAsia="zh-CN"/>
              </w:rPr>
              <w:t>团队</w:t>
            </w:r>
            <w:r>
              <w:rPr>
                <w:rFonts w:hint="eastAsia"/>
              </w:rPr>
              <w:t>应具备较强的产业导入、整合、孵化等产业生态运营能力，并能够为所投资企业提供创业辅导、管理咨询等增值服务。</w:t>
            </w:r>
          </w:p>
        </w:tc>
        <w:tc>
          <w:tcPr>
            <w:tcW w:w="1276" w:type="dxa"/>
            <w:vAlign w:val="center"/>
          </w:tcPr>
          <w:p>
            <w:pPr>
              <w:keepNext/>
              <w:keepLines/>
              <w:snapToGrid w:val="0"/>
              <w:spacing w:before="260" w:after="260" w:line="400" w:lineRule="exact"/>
              <w:contextualSpacing/>
              <w:rPr>
                <w:szCs w:val="21"/>
              </w:rPr>
            </w:pPr>
          </w:p>
        </w:tc>
        <w:tc>
          <w:tcPr>
            <w:tcW w:w="1502" w:type="dxa"/>
            <w:vAlign w:val="center"/>
          </w:tcPr>
          <w:p>
            <w:pPr>
              <w:keepNext/>
              <w:keepLines/>
              <w:snapToGrid w:val="0"/>
              <w:spacing w:before="260" w:after="260"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投资能力</w:t>
            </w:r>
          </w:p>
        </w:tc>
        <w:tc>
          <w:tcPr>
            <w:tcW w:w="5822" w:type="dxa"/>
            <w:vAlign w:val="center"/>
          </w:tcPr>
          <w:p>
            <w:pPr>
              <w:snapToGrid w:val="0"/>
              <w:spacing w:line="400" w:lineRule="exact"/>
              <w:contextualSpacing/>
              <w:rPr>
                <w:rFonts w:hint="eastAsia"/>
              </w:rPr>
            </w:pPr>
            <w:r>
              <w:rPr>
                <w:rFonts w:hint="eastAsia"/>
              </w:rPr>
              <w:t>子基金管理机构（或直接、间接控股股东）管理的基金规模累计不低于5亿元人民币（或等值货币），或子基金管理机构管理团队主要成员曾在所管理基金规模累计不低于5亿元人民币（或等值货币）的基金管理机构担任高级管理人员。</w:t>
            </w:r>
          </w:p>
          <w:p>
            <w:pPr>
              <w:snapToGrid w:val="0"/>
              <w:spacing w:line="400" w:lineRule="exact"/>
              <w:contextualSpacing/>
              <w:rPr>
                <w:rFonts w:hint="eastAsia"/>
              </w:rPr>
            </w:pPr>
            <w:r>
              <w:rPr>
                <w:rFonts w:hint="eastAsia"/>
              </w:rPr>
              <w:t>子基金管理机构（或直接、间接控股股东）拥有3个</w:t>
            </w:r>
            <w:r>
              <w:rPr>
                <w:rFonts w:hint="eastAsia"/>
                <w:lang w:eastAsia="zh-CN"/>
              </w:rPr>
              <w:t>（</w:t>
            </w:r>
            <w:r>
              <w:rPr>
                <w:rFonts w:hint="eastAsia"/>
                <w:lang w:val="en-US" w:eastAsia="zh-CN"/>
              </w:rPr>
              <w:t>含</w:t>
            </w:r>
            <w:r>
              <w:rPr>
                <w:rFonts w:hint="eastAsia"/>
                <w:lang w:eastAsia="zh-CN"/>
              </w:rPr>
              <w:t>）</w:t>
            </w:r>
            <w:r>
              <w:rPr>
                <w:rFonts w:hint="eastAsia"/>
              </w:rPr>
              <w:t>以上创业投资成功案例，或子基金管理机构管理团队主要成员曾在具有3个</w:t>
            </w:r>
            <w:r>
              <w:rPr>
                <w:rFonts w:hint="eastAsia"/>
                <w:lang w:eastAsia="zh-CN"/>
              </w:rPr>
              <w:t>（</w:t>
            </w:r>
            <w:r>
              <w:rPr>
                <w:rFonts w:hint="eastAsia"/>
                <w:lang w:val="en-US" w:eastAsia="zh-CN"/>
              </w:rPr>
              <w:t>含</w:t>
            </w:r>
            <w:r>
              <w:rPr>
                <w:rFonts w:hint="eastAsia"/>
                <w:lang w:eastAsia="zh-CN"/>
              </w:rPr>
              <w:t>）</w:t>
            </w:r>
            <w:r>
              <w:rPr>
                <w:rFonts w:hint="eastAsia"/>
              </w:rPr>
              <w:t>以上创业投资成功案例的基金管理机构担任高级管理人员。</w:t>
            </w:r>
          </w:p>
          <w:p>
            <w:pPr>
              <w:snapToGrid w:val="0"/>
              <w:spacing w:line="400" w:lineRule="exact"/>
              <w:contextualSpacing/>
              <w:rPr>
                <w:rFonts w:hint="eastAsia"/>
              </w:rPr>
            </w:pPr>
            <w:r>
              <w:rPr>
                <w:rFonts w:hint="eastAsia"/>
              </w:rPr>
              <w:t>成功投资案例指有材料证明满足以下任一要求：</w:t>
            </w:r>
          </w:p>
          <w:p>
            <w:pPr>
              <w:snapToGrid w:val="0"/>
              <w:spacing w:line="400" w:lineRule="exact"/>
              <w:contextualSpacing/>
              <w:rPr>
                <w:rFonts w:hint="eastAsia"/>
              </w:rPr>
            </w:pPr>
            <w:r>
              <w:rPr>
                <w:rFonts w:hint="eastAsia"/>
              </w:rPr>
              <w:t>（1）以现金方式退出部分或全部股权，且该退出部分股权投资收益率超过50%；</w:t>
            </w:r>
          </w:p>
          <w:p>
            <w:pPr>
              <w:snapToGrid w:val="0"/>
              <w:spacing w:line="400" w:lineRule="exact"/>
              <w:contextualSpacing/>
            </w:pPr>
            <w:r>
              <w:rPr>
                <w:rFonts w:hint="eastAsia"/>
              </w:rPr>
              <w:t>（2）暂未退出，最近连续两轮非关联融资估值实现50%以上增值或已成功上市。</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restart"/>
            <w:vAlign w:val="center"/>
          </w:tcPr>
          <w:p>
            <w:pPr>
              <w:snapToGrid w:val="0"/>
              <w:spacing w:line="400" w:lineRule="exact"/>
              <w:contextualSpacing/>
            </w:pPr>
            <w:r>
              <w:rPr>
                <w:rFonts w:hint="eastAsia"/>
              </w:rPr>
              <w:t>管理机制</w:t>
            </w:r>
          </w:p>
        </w:tc>
        <w:tc>
          <w:tcPr>
            <w:tcW w:w="5822" w:type="dxa"/>
            <w:vAlign w:val="center"/>
          </w:tcPr>
          <w:p>
            <w:pPr>
              <w:snapToGrid w:val="0"/>
              <w:spacing w:line="400" w:lineRule="exact"/>
              <w:contextualSpacing/>
            </w:pPr>
            <w:r>
              <w:rPr>
                <w:rFonts w:hint="eastAsia"/>
              </w:rPr>
              <w:t>管理和投资运作规范，具有完整的投资决策程序、全面的风险控制机制和健全的财务管理制度。</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snapToGrid w:val="0"/>
              <w:spacing w:line="400" w:lineRule="exact"/>
              <w:contextualSpacing/>
            </w:pPr>
          </w:p>
        </w:tc>
        <w:tc>
          <w:tcPr>
            <w:tcW w:w="5822" w:type="dxa"/>
            <w:vAlign w:val="center"/>
          </w:tcPr>
          <w:p>
            <w:pPr>
              <w:snapToGrid w:val="0"/>
              <w:spacing w:line="400" w:lineRule="exact"/>
              <w:contextualSpacing/>
            </w:pPr>
            <w:r>
              <w:rPr>
                <w:rFonts w:hint="eastAsia"/>
              </w:rPr>
              <w:t>子基金采取市场化机制运作，由子基金管理机构依据合伙协议（或公司章程）等相关约定进行投资决策。</w:t>
            </w:r>
            <w:r>
              <w:rPr>
                <w:rFonts w:hint="eastAsia"/>
                <w:lang w:eastAsia="zh-CN"/>
              </w:rPr>
              <w:t>创新基金</w:t>
            </w:r>
            <w:r>
              <w:rPr>
                <w:rFonts w:hint="eastAsia"/>
              </w:rPr>
              <w:t>有权对子基金拟投资项目是否符合合伙协议（或公司章程）、</w:t>
            </w:r>
            <w:r>
              <w:rPr>
                <w:rFonts w:hint="eastAsia"/>
                <w:lang w:eastAsia="zh-CN"/>
              </w:rPr>
              <w:t>《实施方案》、本办法</w:t>
            </w:r>
            <w:r>
              <w:rPr>
                <w:rFonts w:hint="eastAsia"/>
              </w:rPr>
              <w:t>及国家相关规定进行合规性审核，经</w:t>
            </w:r>
            <w:r>
              <w:rPr>
                <w:rFonts w:hint="eastAsia"/>
                <w:lang w:eastAsia="zh-CN"/>
              </w:rPr>
              <w:t>创新基金</w:t>
            </w:r>
            <w:r>
              <w:rPr>
                <w:rFonts w:hint="eastAsia"/>
              </w:rPr>
              <w:t>行使否决权的项目，子基金不得投资。</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snapToGrid w:val="0"/>
              <w:spacing w:line="400" w:lineRule="exact"/>
              <w:contextualSpacing/>
            </w:pPr>
            <w:r>
              <w:rPr>
                <w:rFonts w:hint="eastAsia"/>
              </w:rPr>
              <w:t>信息披露</w:t>
            </w:r>
          </w:p>
        </w:tc>
        <w:tc>
          <w:tcPr>
            <w:tcW w:w="5822" w:type="dxa"/>
            <w:vAlign w:val="center"/>
          </w:tcPr>
          <w:p>
            <w:pPr>
              <w:snapToGrid w:val="0"/>
              <w:spacing w:line="400" w:lineRule="exact"/>
              <w:contextualSpacing/>
            </w:pPr>
            <w:r>
              <w:rPr>
                <w:rFonts w:hint="eastAsia"/>
              </w:rPr>
              <w:t>子基金管理机构应当建立子基金重大事项披露制度，子基金管理机构应当建立子基金重大事项披露制度。子基金须定期向管理公司提交子基金运营报告、经审计的子基金财务报告和银行托管报告等，管理公司视工作需要可委托专业机构对子基金进行审计。</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Align w:val="center"/>
          </w:tcPr>
          <w:p>
            <w:pPr>
              <w:keepNext/>
              <w:keepLines/>
              <w:snapToGrid w:val="0"/>
              <w:spacing w:before="260" w:after="260" w:line="400" w:lineRule="exact"/>
              <w:contextualSpacing/>
              <w:rPr>
                <w:rFonts w:hint="default" w:eastAsia="宋体"/>
                <w:lang w:val="en-US" w:eastAsia="zh-CN"/>
              </w:rPr>
            </w:pPr>
            <w:r>
              <w:rPr>
                <w:rFonts w:hint="eastAsia"/>
                <w:lang w:val="en-US" w:eastAsia="zh-CN"/>
              </w:rPr>
              <w:t>专注度要求</w:t>
            </w:r>
          </w:p>
        </w:tc>
        <w:tc>
          <w:tcPr>
            <w:tcW w:w="5822" w:type="dxa"/>
            <w:vAlign w:val="center"/>
          </w:tcPr>
          <w:p>
            <w:pPr>
              <w:snapToGrid w:val="0"/>
              <w:spacing w:line="400" w:lineRule="exact"/>
              <w:contextualSpacing/>
              <w:rPr>
                <w:rFonts w:ascii="宋体" w:hAnsi="宋体"/>
                <w:szCs w:val="21"/>
              </w:rPr>
            </w:pPr>
            <w:r>
              <w:rPr>
                <w:rFonts w:hint="eastAsia"/>
              </w:rPr>
              <w:t>子基金须</w:t>
            </w:r>
            <w:r>
              <w:rPr>
                <w:rFonts w:hint="eastAsia"/>
                <w:lang w:val="en-US" w:eastAsia="zh-CN"/>
              </w:rPr>
              <w:t>重点</w:t>
            </w:r>
            <w:r>
              <w:rPr>
                <w:rFonts w:hint="eastAsia"/>
              </w:rPr>
              <w:t>投向符合自贸港产业定位的种子期、初创期企业，重点支持专精特新中小企业。</w:t>
            </w:r>
          </w:p>
        </w:tc>
        <w:tc>
          <w:tcPr>
            <w:tcW w:w="1276" w:type="dxa"/>
            <w:vAlign w:val="center"/>
          </w:tcPr>
          <w:p>
            <w:pPr>
              <w:snapToGrid w:val="0"/>
              <w:spacing w:line="400" w:lineRule="exact"/>
              <w:contextualSpacing/>
              <w:rPr>
                <w:szCs w:val="21"/>
              </w:rPr>
            </w:pPr>
          </w:p>
        </w:tc>
        <w:tc>
          <w:tcPr>
            <w:tcW w:w="1502" w:type="dxa"/>
            <w:vAlign w:val="center"/>
          </w:tcPr>
          <w:p>
            <w:pPr>
              <w:snapToGrid w:val="0"/>
              <w:spacing w:line="4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vAlign w:val="center"/>
          </w:tcPr>
          <w:p>
            <w:pPr>
              <w:keepNext/>
              <w:keepLines/>
              <w:snapToGrid w:val="0"/>
              <w:spacing w:before="260" w:after="260" w:line="400" w:lineRule="exact"/>
              <w:contextualSpacing/>
            </w:pPr>
            <w:r>
              <w:rPr>
                <w:rFonts w:hint="eastAsia"/>
              </w:rPr>
              <w:t>三、子基金投资限制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restart"/>
            <w:vAlign w:val="center"/>
          </w:tcPr>
          <w:p>
            <w:pPr>
              <w:keepNext/>
              <w:keepLines/>
              <w:snapToGrid w:val="0"/>
              <w:spacing w:before="260" w:after="260" w:line="400" w:lineRule="exact"/>
              <w:contextualSpacing/>
            </w:pPr>
            <w:r>
              <w:rPr>
                <w:rFonts w:hint="eastAsia"/>
              </w:rPr>
              <w:t>子基金不得从事业务</w:t>
            </w:r>
          </w:p>
        </w:tc>
        <w:tc>
          <w:tcPr>
            <w:tcW w:w="5822" w:type="dxa"/>
            <w:vAlign w:val="center"/>
          </w:tcPr>
          <w:p>
            <w:pPr>
              <w:spacing w:line="276" w:lineRule="auto"/>
              <w:rPr>
                <w:rFonts w:hint="eastAsia" w:eastAsia="宋体"/>
                <w:lang w:eastAsia="zh-CN"/>
              </w:rPr>
            </w:pPr>
            <w:r>
              <w:rPr>
                <w:rFonts w:hint="eastAsia"/>
              </w:rPr>
              <w:t>从事融资担保以外的担保、抵押、委托贷款等业务</w:t>
            </w:r>
            <w:r>
              <w:rPr>
                <w:rFonts w:hint="eastAsia"/>
                <w:lang w:eastAsia="zh-CN"/>
              </w:rPr>
              <w:t>。</w:t>
            </w:r>
          </w:p>
        </w:tc>
        <w:tc>
          <w:tcPr>
            <w:tcW w:w="1276" w:type="dxa"/>
            <w:vMerge w:val="restart"/>
            <w:vAlign w:val="center"/>
          </w:tcPr>
          <w:p>
            <w:pPr>
              <w:keepNext/>
              <w:keepLines/>
              <w:snapToGrid w:val="0"/>
              <w:spacing w:before="260" w:after="260" w:line="400" w:lineRule="exact"/>
              <w:contextualSpacing/>
            </w:pPr>
          </w:p>
        </w:tc>
        <w:tc>
          <w:tcPr>
            <w:tcW w:w="1502" w:type="dxa"/>
            <w:vMerge w:val="restart"/>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snapToGrid w:val="0"/>
              <w:spacing w:line="400" w:lineRule="exact"/>
              <w:contextualSpacing/>
              <w:jc w:val="center"/>
            </w:pPr>
          </w:p>
        </w:tc>
        <w:tc>
          <w:tcPr>
            <w:tcW w:w="5822" w:type="dxa"/>
            <w:vAlign w:val="center"/>
          </w:tcPr>
          <w:p>
            <w:pPr>
              <w:snapToGrid w:val="0"/>
              <w:spacing w:line="400" w:lineRule="exact"/>
              <w:contextualSpacing/>
              <w:rPr>
                <w:rFonts w:hint="eastAsia" w:eastAsia="宋体"/>
                <w:lang w:eastAsia="zh-CN"/>
              </w:rPr>
            </w:pPr>
            <w:r>
              <w:rPr>
                <w:rFonts w:hint="eastAsia"/>
              </w:rPr>
              <w:t>投资二级市场股票、期货、房地产、证券投资基金、评级AAA以下的企业债、信托产品、非保本型理财产品、保险计划及其他金融衍生品</w:t>
            </w:r>
            <w:r>
              <w:rPr>
                <w:rFonts w:hint="eastAsia"/>
                <w:lang w:eastAsia="zh-CN"/>
              </w:rPr>
              <w:t>。</w:t>
            </w:r>
          </w:p>
        </w:tc>
        <w:tc>
          <w:tcPr>
            <w:tcW w:w="1276" w:type="dxa"/>
            <w:vMerge w:val="continue"/>
            <w:vAlign w:val="center"/>
          </w:tcPr>
          <w:p>
            <w:pPr>
              <w:keepNext/>
              <w:keepLines/>
              <w:snapToGrid w:val="0"/>
              <w:spacing w:before="260" w:after="260" w:line="400" w:lineRule="exact"/>
              <w:contextualSpacing/>
            </w:pPr>
          </w:p>
        </w:tc>
        <w:tc>
          <w:tcPr>
            <w:tcW w:w="1502" w:type="dxa"/>
            <w:vMerge w:val="continue"/>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向任何第三方提供赞助、捐赠（经批准的公益性捐赠除外）。</w:t>
            </w:r>
          </w:p>
        </w:tc>
        <w:tc>
          <w:tcPr>
            <w:tcW w:w="1276" w:type="dxa"/>
            <w:vAlign w:val="center"/>
          </w:tcPr>
          <w:p>
            <w:pPr>
              <w:keepNext/>
              <w:keepLines/>
              <w:snapToGrid w:val="0"/>
              <w:spacing w:before="260" w:after="260" w:line="400" w:lineRule="exact"/>
              <w:contextualSpacing/>
            </w:pPr>
          </w:p>
        </w:tc>
        <w:tc>
          <w:tcPr>
            <w:tcW w:w="1502" w:type="dxa"/>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吸收或变相吸收存款，或向第三方提供贷款和资金拆借。</w:t>
            </w:r>
          </w:p>
        </w:tc>
        <w:tc>
          <w:tcPr>
            <w:tcW w:w="1276" w:type="dxa"/>
            <w:vAlign w:val="center"/>
          </w:tcPr>
          <w:p>
            <w:pPr>
              <w:keepNext/>
              <w:keepLines/>
              <w:snapToGrid w:val="0"/>
              <w:spacing w:before="260" w:after="260" w:line="400" w:lineRule="exact"/>
              <w:contextualSpacing/>
            </w:pPr>
          </w:p>
        </w:tc>
        <w:tc>
          <w:tcPr>
            <w:tcW w:w="1502" w:type="dxa"/>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进行承担无限连带责任的对外投资。</w:t>
            </w:r>
          </w:p>
        </w:tc>
        <w:tc>
          <w:tcPr>
            <w:tcW w:w="1276" w:type="dxa"/>
            <w:vMerge w:val="restart"/>
            <w:vAlign w:val="center"/>
          </w:tcPr>
          <w:p>
            <w:pPr>
              <w:keepNext/>
              <w:keepLines/>
              <w:snapToGrid w:val="0"/>
              <w:spacing w:before="260" w:after="260" w:line="400" w:lineRule="exact"/>
              <w:contextualSpacing/>
            </w:pPr>
          </w:p>
        </w:tc>
        <w:tc>
          <w:tcPr>
            <w:tcW w:w="1502" w:type="dxa"/>
            <w:vMerge w:val="restart"/>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发行信托或集合理财产品募集资金。</w:t>
            </w:r>
          </w:p>
        </w:tc>
        <w:tc>
          <w:tcPr>
            <w:tcW w:w="1276" w:type="dxa"/>
            <w:vMerge w:val="continue"/>
            <w:vAlign w:val="center"/>
          </w:tcPr>
          <w:p>
            <w:pPr>
              <w:keepNext/>
              <w:keepLines/>
              <w:snapToGrid w:val="0"/>
              <w:spacing w:before="260" w:after="260" w:line="400" w:lineRule="exact"/>
              <w:contextualSpacing/>
            </w:pPr>
          </w:p>
        </w:tc>
        <w:tc>
          <w:tcPr>
            <w:tcW w:w="1502" w:type="dxa"/>
            <w:vMerge w:val="continue"/>
            <w:vAlign w:val="center"/>
          </w:tcPr>
          <w:p>
            <w:pPr>
              <w:keepNext/>
              <w:keepLines/>
              <w:snapToGrid w:val="0"/>
              <w:spacing w:before="260" w:after="260" w:line="400" w:lineRule="exact"/>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vAlign w:val="center"/>
          </w:tcPr>
          <w:p>
            <w:pPr>
              <w:keepNext/>
              <w:keepLines/>
              <w:snapToGrid w:val="0"/>
              <w:spacing w:before="260" w:after="260" w:line="400" w:lineRule="exact"/>
              <w:contextualSpacing/>
            </w:pPr>
          </w:p>
        </w:tc>
        <w:tc>
          <w:tcPr>
            <w:tcW w:w="5822" w:type="dxa"/>
            <w:vAlign w:val="center"/>
          </w:tcPr>
          <w:p>
            <w:pPr>
              <w:snapToGrid w:val="0"/>
              <w:spacing w:line="400" w:lineRule="exact"/>
              <w:contextualSpacing/>
            </w:pPr>
            <w:r>
              <w:rPr>
                <w:rFonts w:hint="eastAsia"/>
              </w:rPr>
              <w:t>其他国家法律法规禁止从事的业务。</w:t>
            </w:r>
          </w:p>
        </w:tc>
        <w:tc>
          <w:tcPr>
            <w:tcW w:w="1276" w:type="dxa"/>
            <w:vMerge w:val="continue"/>
            <w:vAlign w:val="center"/>
          </w:tcPr>
          <w:p>
            <w:pPr>
              <w:keepNext/>
              <w:keepLines/>
              <w:snapToGrid w:val="0"/>
              <w:spacing w:before="260" w:after="260" w:line="400" w:lineRule="exact"/>
              <w:contextualSpacing/>
            </w:pPr>
          </w:p>
        </w:tc>
        <w:tc>
          <w:tcPr>
            <w:tcW w:w="1502" w:type="dxa"/>
            <w:vMerge w:val="continue"/>
            <w:vAlign w:val="center"/>
          </w:tcPr>
          <w:p>
            <w:pPr>
              <w:keepNext/>
              <w:keepLines/>
              <w:snapToGrid w:val="0"/>
              <w:spacing w:before="260" w:after="260" w:line="400" w:lineRule="exact"/>
              <w:contextualSpacing/>
            </w:pPr>
          </w:p>
        </w:tc>
      </w:tr>
    </w:tbl>
    <w:p>
      <w:pPr>
        <w:spacing w:line="560" w:lineRule="exact"/>
        <w:rPr>
          <w:rFonts w:hint="eastAsia"/>
        </w:rPr>
      </w:pPr>
    </w:p>
    <w:p>
      <w:pPr>
        <w:spacing w:line="560" w:lineRule="exact"/>
      </w:pPr>
      <w:r>
        <w:rPr>
          <w:rFonts w:hint="eastAsia"/>
        </w:rPr>
        <w:t>注：拟申请</w:t>
      </w:r>
      <w:r>
        <w:rPr>
          <w:rFonts w:hint="eastAsia"/>
          <w:lang w:val="en-US" w:eastAsia="zh-CN"/>
        </w:rPr>
        <w:t>创新基金贰号</w:t>
      </w:r>
      <w:r>
        <w:rPr>
          <w:rFonts w:hint="eastAsia"/>
        </w:rPr>
        <w:t>参股的子基金应开展合规性自查，并在是否符合一栏填写“</w:t>
      </w:r>
      <w:r>
        <w:rPr>
          <w:rFonts w:hint="eastAsia" w:ascii="宋体" w:hAnsi="宋体"/>
        </w:rPr>
        <w:t>√</w:t>
      </w:r>
      <w:r>
        <w:rPr>
          <w:rFonts w:hint="eastAsia"/>
        </w:rPr>
        <w:t>”或“</w:t>
      </w:r>
      <w:r>
        <w:rPr>
          <w:rFonts w:hint="eastAsia" w:ascii="宋体" w:hAnsi="宋体"/>
        </w:rPr>
        <w:t>х</w:t>
      </w:r>
      <w:r>
        <w:rPr>
          <w:rFonts w:hint="eastAsia"/>
        </w:rPr>
        <w:t>”，需要进一步说明的事项请填写在备注栏。原则上，表中所列条件，子基金应全部符合或接受。</w:t>
      </w:r>
    </w:p>
    <w:p>
      <w:pPr>
        <w:spacing w:line="560" w:lineRule="exact"/>
        <w:rPr>
          <w:rFonts w:ascii="仿宋_GB2312" w:eastAsia="仿宋_GB2312"/>
          <w:sz w:val="32"/>
          <w:szCs w:val="32"/>
        </w:rPr>
      </w:pPr>
    </w:p>
    <w:p>
      <w:pPr>
        <w:spacing w:line="560" w:lineRule="exact"/>
        <w:ind w:firstLine="6720" w:firstLineChars="2100"/>
        <w:jc w:val="both"/>
        <w:rPr>
          <w:rFonts w:ascii="仿宋_GB2312" w:eastAsia="仿宋_GB2312"/>
          <w:sz w:val="32"/>
          <w:szCs w:val="32"/>
        </w:rPr>
      </w:pPr>
      <w:r>
        <w:rPr>
          <w:rFonts w:hint="eastAsia" w:ascii="仿宋_GB2312" w:eastAsia="仿宋_GB2312"/>
          <w:sz w:val="32"/>
          <w:szCs w:val="32"/>
        </w:rPr>
        <w:t xml:space="preserve">申请机构盖章：       </w:t>
      </w:r>
    </w:p>
    <w:p>
      <w:pPr>
        <w:pStyle w:val="4"/>
        <w:rPr>
          <w:rFonts w:hint="default" w:ascii="Times New Roman" w:hAnsi="Times New Roman" w:eastAsia="仿宋_GB2312" w:cs="Times New Roman"/>
          <w:b w:val="0"/>
          <w:bCs/>
          <w:color w:val="auto"/>
          <w:sz w:val="32"/>
          <w:szCs w:val="32"/>
          <w:highlight w:val="none"/>
        </w:rPr>
      </w:pPr>
    </w:p>
    <w:sectPr>
      <w:footerReference r:id="rId3" w:type="default"/>
      <w:footerReference r:id="rId4" w:type="even"/>
      <w:pgSz w:w="11906" w:h="16838"/>
      <w:pgMar w:top="1588" w:right="1474"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DA5ZDA4MjhjYWY2ZDAzMGFmZjIwZTM3ODgwNDcifQ=="/>
  </w:docVars>
  <w:rsids>
    <w:rsidRoot w:val="00565E0D"/>
    <w:rsid w:val="000000C8"/>
    <w:rsid w:val="00010724"/>
    <w:rsid w:val="00013DC8"/>
    <w:rsid w:val="0001774D"/>
    <w:rsid w:val="000222E7"/>
    <w:rsid w:val="00027264"/>
    <w:rsid w:val="0002755B"/>
    <w:rsid w:val="00035734"/>
    <w:rsid w:val="000403B9"/>
    <w:rsid w:val="00052F17"/>
    <w:rsid w:val="0005557E"/>
    <w:rsid w:val="0005629D"/>
    <w:rsid w:val="00064F5D"/>
    <w:rsid w:val="0006691A"/>
    <w:rsid w:val="000818F0"/>
    <w:rsid w:val="00083E32"/>
    <w:rsid w:val="00087177"/>
    <w:rsid w:val="000A6408"/>
    <w:rsid w:val="000C173F"/>
    <w:rsid w:val="000D262C"/>
    <w:rsid w:val="000E3213"/>
    <w:rsid w:val="000F491E"/>
    <w:rsid w:val="000F73FC"/>
    <w:rsid w:val="00125818"/>
    <w:rsid w:val="00127D4D"/>
    <w:rsid w:val="001308B0"/>
    <w:rsid w:val="001431CA"/>
    <w:rsid w:val="00147D09"/>
    <w:rsid w:val="00153C3B"/>
    <w:rsid w:val="00160D86"/>
    <w:rsid w:val="0016353C"/>
    <w:rsid w:val="00182879"/>
    <w:rsid w:val="00185BFA"/>
    <w:rsid w:val="001A12CD"/>
    <w:rsid w:val="001A2925"/>
    <w:rsid w:val="001A4415"/>
    <w:rsid w:val="001A5CB7"/>
    <w:rsid w:val="001A6C2E"/>
    <w:rsid w:val="001B1E6C"/>
    <w:rsid w:val="001B2E53"/>
    <w:rsid w:val="001B329E"/>
    <w:rsid w:val="001B6E38"/>
    <w:rsid w:val="001C0E9D"/>
    <w:rsid w:val="001C4597"/>
    <w:rsid w:val="001D4268"/>
    <w:rsid w:val="001E53E6"/>
    <w:rsid w:val="001E5F30"/>
    <w:rsid w:val="001F039E"/>
    <w:rsid w:val="001F1283"/>
    <w:rsid w:val="001F14E3"/>
    <w:rsid w:val="00207E19"/>
    <w:rsid w:val="00223A3E"/>
    <w:rsid w:val="00233DD3"/>
    <w:rsid w:val="00234401"/>
    <w:rsid w:val="0023620E"/>
    <w:rsid w:val="002439FD"/>
    <w:rsid w:val="00247735"/>
    <w:rsid w:val="00260D03"/>
    <w:rsid w:val="002629F4"/>
    <w:rsid w:val="00266B30"/>
    <w:rsid w:val="002767C2"/>
    <w:rsid w:val="00281161"/>
    <w:rsid w:val="00281C9D"/>
    <w:rsid w:val="002862B8"/>
    <w:rsid w:val="002A36F6"/>
    <w:rsid w:val="002A558A"/>
    <w:rsid w:val="002C4AED"/>
    <w:rsid w:val="002D0FD0"/>
    <w:rsid w:val="002E3261"/>
    <w:rsid w:val="002E5A11"/>
    <w:rsid w:val="002F114C"/>
    <w:rsid w:val="002F3CF3"/>
    <w:rsid w:val="00307032"/>
    <w:rsid w:val="00312AF2"/>
    <w:rsid w:val="003276F8"/>
    <w:rsid w:val="00345BA5"/>
    <w:rsid w:val="00345F64"/>
    <w:rsid w:val="00350355"/>
    <w:rsid w:val="003553E7"/>
    <w:rsid w:val="00373CCA"/>
    <w:rsid w:val="00377A7E"/>
    <w:rsid w:val="003833E7"/>
    <w:rsid w:val="0038476A"/>
    <w:rsid w:val="003B4F4F"/>
    <w:rsid w:val="003C1071"/>
    <w:rsid w:val="003D0520"/>
    <w:rsid w:val="003E0FCA"/>
    <w:rsid w:val="003E204D"/>
    <w:rsid w:val="003E3D97"/>
    <w:rsid w:val="003E6078"/>
    <w:rsid w:val="003F50D8"/>
    <w:rsid w:val="003F54BB"/>
    <w:rsid w:val="003F5C6B"/>
    <w:rsid w:val="004072FD"/>
    <w:rsid w:val="00435A35"/>
    <w:rsid w:val="00436D90"/>
    <w:rsid w:val="004415A2"/>
    <w:rsid w:val="00441809"/>
    <w:rsid w:val="004449EF"/>
    <w:rsid w:val="004513EF"/>
    <w:rsid w:val="00451D9C"/>
    <w:rsid w:val="004664A7"/>
    <w:rsid w:val="00472676"/>
    <w:rsid w:val="0047637D"/>
    <w:rsid w:val="00482CA2"/>
    <w:rsid w:val="004906F4"/>
    <w:rsid w:val="0049260D"/>
    <w:rsid w:val="004A5000"/>
    <w:rsid w:val="004C1067"/>
    <w:rsid w:val="004C228E"/>
    <w:rsid w:val="004C7AA6"/>
    <w:rsid w:val="004D5F65"/>
    <w:rsid w:val="004F3D30"/>
    <w:rsid w:val="004F5CE4"/>
    <w:rsid w:val="00503478"/>
    <w:rsid w:val="00514894"/>
    <w:rsid w:val="0052767B"/>
    <w:rsid w:val="00537BAA"/>
    <w:rsid w:val="00543E1F"/>
    <w:rsid w:val="0055058A"/>
    <w:rsid w:val="00552EAF"/>
    <w:rsid w:val="00554133"/>
    <w:rsid w:val="005551E3"/>
    <w:rsid w:val="00562BE0"/>
    <w:rsid w:val="00565E0D"/>
    <w:rsid w:val="00572279"/>
    <w:rsid w:val="00573698"/>
    <w:rsid w:val="005843CC"/>
    <w:rsid w:val="005869E8"/>
    <w:rsid w:val="00594E3B"/>
    <w:rsid w:val="005958BD"/>
    <w:rsid w:val="00597ABD"/>
    <w:rsid w:val="005D1117"/>
    <w:rsid w:val="00615224"/>
    <w:rsid w:val="006238FE"/>
    <w:rsid w:val="0063366A"/>
    <w:rsid w:val="00651DA6"/>
    <w:rsid w:val="006553A0"/>
    <w:rsid w:val="006604AD"/>
    <w:rsid w:val="00663946"/>
    <w:rsid w:val="00667F0D"/>
    <w:rsid w:val="00676338"/>
    <w:rsid w:val="006840AE"/>
    <w:rsid w:val="00684F22"/>
    <w:rsid w:val="0068649A"/>
    <w:rsid w:val="006926CB"/>
    <w:rsid w:val="00692DF7"/>
    <w:rsid w:val="006A0F6D"/>
    <w:rsid w:val="006A1974"/>
    <w:rsid w:val="006B1247"/>
    <w:rsid w:val="006C3891"/>
    <w:rsid w:val="006D4964"/>
    <w:rsid w:val="006E5E92"/>
    <w:rsid w:val="00724693"/>
    <w:rsid w:val="00726385"/>
    <w:rsid w:val="007315EB"/>
    <w:rsid w:val="00736D73"/>
    <w:rsid w:val="00740787"/>
    <w:rsid w:val="00747CC6"/>
    <w:rsid w:val="00752E65"/>
    <w:rsid w:val="00753C54"/>
    <w:rsid w:val="00762F8B"/>
    <w:rsid w:val="00780048"/>
    <w:rsid w:val="00784DB2"/>
    <w:rsid w:val="00791A41"/>
    <w:rsid w:val="00794C9B"/>
    <w:rsid w:val="0079534D"/>
    <w:rsid w:val="0079587E"/>
    <w:rsid w:val="00797CC2"/>
    <w:rsid w:val="007A4BCC"/>
    <w:rsid w:val="007A59A5"/>
    <w:rsid w:val="007B5006"/>
    <w:rsid w:val="007B62F4"/>
    <w:rsid w:val="007B6664"/>
    <w:rsid w:val="007D10D9"/>
    <w:rsid w:val="007D7EBB"/>
    <w:rsid w:val="007E248C"/>
    <w:rsid w:val="007E7A09"/>
    <w:rsid w:val="007F287E"/>
    <w:rsid w:val="007F4B11"/>
    <w:rsid w:val="007F5BEC"/>
    <w:rsid w:val="007F63BC"/>
    <w:rsid w:val="008074AE"/>
    <w:rsid w:val="00810D63"/>
    <w:rsid w:val="00814484"/>
    <w:rsid w:val="008245DF"/>
    <w:rsid w:val="00832609"/>
    <w:rsid w:val="00832AE4"/>
    <w:rsid w:val="00846BD1"/>
    <w:rsid w:val="00854BF8"/>
    <w:rsid w:val="00860C67"/>
    <w:rsid w:val="008642F2"/>
    <w:rsid w:val="00874C0D"/>
    <w:rsid w:val="00886EEC"/>
    <w:rsid w:val="008936A8"/>
    <w:rsid w:val="00894473"/>
    <w:rsid w:val="008A6EB5"/>
    <w:rsid w:val="008B320D"/>
    <w:rsid w:val="008B6673"/>
    <w:rsid w:val="008C29B3"/>
    <w:rsid w:val="008C5757"/>
    <w:rsid w:val="008C6C97"/>
    <w:rsid w:val="008D21DB"/>
    <w:rsid w:val="008D5837"/>
    <w:rsid w:val="008D76C0"/>
    <w:rsid w:val="008E27DE"/>
    <w:rsid w:val="009036AA"/>
    <w:rsid w:val="00910CB6"/>
    <w:rsid w:val="00916336"/>
    <w:rsid w:val="009205B6"/>
    <w:rsid w:val="0094546E"/>
    <w:rsid w:val="00954340"/>
    <w:rsid w:val="009567A7"/>
    <w:rsid w:val="0096244D"/>
    <w:rsid w:val="00972928"/>
    <w:rsid w:val="009A6F86"/>
    <w:rsid w:val="009B1E56"/>
    <w:rsid w:val="009B5DCE"/>
    <w:rsid w:val="009C773A"/>
    <w:rsid w:val="009C7FBC"/>
    <w:rsid w:val="009E3D3F"/>
    <w:rsid w:val="009F05A5"/>
    <w:rsid w:val="00A05163"/>
    <w:rsid w:val="00A1484E"/>
    <w:rsid w:val="00A15397"/>
    <w:rsid w:val="00A2328D"/>
    <w:rsid w:val="00A32B58"/>
    <w:rsid w:val="00A33805"/>
    <w:rsid w:val="00A50A06"/>
    <w:rsid w:val="00A51C8F"/>
    <w:rsid w:val="00A52366"/>
    <w:rsid w:val="00A601F2"/>
    <w:rsid w:val="00A64C3E"/>
    <w:rsid w:val="00A8402B"/>
    <w:rsid w:val="00A95F4F"/>
    <w:rsid w:val="00AA4F37"/>
    <w:rsid w:val="00AA5BF1"/>
    <w:rsid w:val="00AB09C2"/>
    <w:rsid w:val="00AB5CC8"/>
    <w:rsid w:val="00AE7126"/>
    <w:rsid w:val="00B11039"/>
    <w:rsid w:val="00B130BF"/>
    <w:rsid w:val="00B13E0D"/>
    <w:rsid w:val="00B23701"/>
    <w:rsid w:val="00B455A4"/>
    <w:rsid w:val="00B455F6"/>
    <w:rsid w:val="00B46C89"/>
    <w:rsid w:val="00B542F7"/>
    <w:rsid w:val="00B56D54"/>
    <w:rsid w:val="00B6461A"/>
    <w:rsid w:val="00B6636E"/>
    <w:rsid w:val="00B75888"/>
    <w:rsid w:val="00B8224D"/>
    <w:rsid w:val="00B8376D"/>
    <w:rsid w:val="00B905FB"/>
    <w:rsid w:val="00B91100"/>
    <w:rsid w:val="00B96959"/>
    <w:rsid w:val="00BA5B1A"/>
    <w:rsid w:val="00BC44C7"/>
    <w:rsid w:val="00BD1A4B"/>
    <w:rsid w:val="00BD77F2"/>
    <w:rsid w:val="00BE1890"/>
    <w:rsid w:val="00BF4B67"/>
    <w:rsid w:val="00BF6770"/>
    <w:rsid w:val="00C021D6"/>
    <w:rsid w:val="00C07F95"/>
    <w:rsid w:val="00C25BC5"/>
    <w:rsid w:val="00C406FE"/>
    <w:rsid w:val="00C5077F"/>
    <w:rsid w:val="00C65546"/>
    <w:rsid w:val="00C662D2"/>
    <w:rsid w:val="00C676AD"/>
    <w:rsid w:val="00C8520E"/>
    <w:rsid w:val="00CA5E72"/>
    <w:rsid w:val="00CA6B00"/>
    <w:rsid w:val="00CB0998"/>
    <w:rsid w:val="00CB1665"/>
    <w:rsid w:val="00CB2859"/>
    <w:rsid w:val="00CB7AFD"/>
    <w:rsid w:val="00CC0E22"/>
    <w:rsid w:val="00CC7F96"/>
    <w:rsid w:val="00CD6E3E"/>
    <w:rsid w:val="00CE652E"/>
    <w:rsid w:val="00CF0980"/>
    <w:rsid w:val="00D000BE"/>
    <w:rsid w:val="00D17926"/>
    <w:rsid w:val="00D20481"/>
    <w:rsid w:val="00D223CF"/>
    <w:rsid w:val="00D25FC2"/>
    <w:rsid w:val="00D303ED"/>
    <w:rsid w:val="00D35792"/>
    <w:rsid w:val="00D35A46"/>
    <w:rsid w:val="00D44A75"/>
    <w:rsid w:val="00D454F4"/>
    <w:rsid w:val="00D47704"/>
    <w:rsid w:val="00D70805"/>
    <w:rsid w:val="00D7626C"/>
    <w:rsid w:val="00D856AD"/>
    <w:rsid w:val="00D86561"/>
    <w:rsid w:val="00D90E83"/>
    <w:rsid w:val="00DA3633"/>
    <w:rsid w:val="00DB20C8"/>
    <w:rsid w:val="00DC637C"/>
    <w:rsid w:val="00DD0257"/>
    <w:rsid w:val="00DD02E7"/>
    <w:rsid w:val="00DE36F0"/>
    <w:rsid w:val="00DF120E"/>
    <w:rsid w:val="00E10452"/>
    <w:rsid w:val="00E16A01"/>
    <w:rsid w:val="00E22F0B"/>
    <w:rsid w:val="00E23F6B"/>
    <w:rsid w:val="00E33457"/>
    <w:rsid w:val="00E34C3E"/>
    <w:rsid w:val="00E37240"/>
    <w:rsid w:val="00E50AB5"/>
    <w:rsid w:val="00E57632"/>
    <w:rsid w:val="00E661DE"/>
    <w:rsid w:val="00E678CD"/>
    <w:rsid w:val="00E87945"/>
    <w:rsid w:val="00E95668"/>
    <w:rsid w:val="00EA2678"/>
    <w:rsid w:val="00EC3AA8"/>
    <w:rsid w:val="00ED0828"/>
    <w:rsid w:val="00ED4B60"/>
    <w:rsid w:val="00ED4E06"/>
    <w:rsid w:val="00EF4903"/>
    <w:rsid w:val="00F04BC6"/>
    <w:rsid w:val="00F347A8"/>
    <w:rsid w:val="00F40EAE"/>
    <w:rsid w:val="00F4252A"/>
    <w:rsid w:val="00F57B33"/>
    <w:rsid w:val="00F7078B"/>
    <w:rsid w:val="00F77395"/>
    <w:rsid w:val="00F77E9A"/>
    <w:rsid w:val="00F93AB1"/>
    <w:rsid w:val="00FB4555"/>
    <w:rsid w:val="00FC4BD2"/>
    <w:rsid w:val="00FD092E"/>
    <w:rsid w:val="00FD0E95"/>
    <w:rsid w:val="00FE28D6"/>
    <w:rsid w:val="00FE4009"/>
    <w:rsid w:val="00FE4E78"/>
    <w:rsid w:val="00FF39A1"/>
    <w:rsid w:val="00FF51C0"/>
    <w:rsid w:val="01626374"/>
    <w:rsid w:val="016F1001"/>
    <w:rsid w:val="01C74429"/>
    <w:rsid w:val="020016E9"/>
    <w:rsid w:val="02223D19"/>
    <w:rsid w:val="03960796"/>
    <w:rsid w:val="03D726B3"/>
    <w:rsid w:val="04930AF8"/>
    <w:rsid w:val="05955D14"/>
    <w:rsid w:val="05F72A5B"/>
    <w:rsid w:val="060379FA"/>
    <w:rsid w:val="06132107"/>
    <w:rsid w:val="066C4324"/>
    <w:rsid w:val="07230354"/>
    <w:rsid w:val="082425D6"/>
    <w:rsid w:val="092E0004"/>
    <w:rsid w:val="093700E7"/>
    <w:rsid w:val="0A613D1A"/>
    <w:rsid w:val="0A8A6C66"/>
    <w:rsid w:val="0AF344E1"/>
    <w:rsid w:val="0BD01E2A"/>
    <w:rsid w:val="0C2B1A59"/>
    <w:rsid w:val="0D486ED5"/>
    <w:rsid w:val="0E055C56"/>
    <w:rsid w:val="0E14327B"/>
    <w:rsid w:val="0E440BB0"/>
    <w:rsid w:val="10E741A0"/>
    <w:rsid w:val="11605865"/>
    <w:rsid w:val="12425599"/>
    <w:rsid w:val="12C71B3B"/>
    <w:rsid w:val="145558C5"/>
    <w:rsid w:val="16745C89"/>
    <w:rsid w:val="1ABD04E1"/>
    <w:rsid w:val="1AE336B0"/>
    <w:rsid w:val="1B265FCE"/>
    <w:rsid w:val="1C24136B"/>
    <w:rsid w:val="1CAC44F0"/>
    <w:rsid w:val="1CF07D82"/>
    <w:rsid w:val="1DC4745F"/>
    <w:rsid w:val="1DCD180A"/>
    <w:rsid w:val="1EA74B1E"/>
    <w:rsid w:val="1EB678A8"/>
    <w:rsid w:val="1F874F54"/>
    <w:rsid w:val="1FBA1165"/>
    <w:rsid w:val="204928D8"/>
    <w:rsid w:val="2087666D"/>
    <w:rsid w:val="21943247"/>
    <w:rsid w:val="2451160D"/>
    <w:rsid w:val="24C525F3"/>
    <w:rsid w:val="255B6A1C"/>
    <w:rsid w:val="27AB1F74"/>
    <w:rsid w:val="27D42D10"/>
    <w:rsid w:val="27F866B9"/>
    <w:rsid w:val="287C121A"/>
    <w:rsid w:val="28D51396"/>
    <w:rsid w:val="29E92217"/>
    <w:rsid w:val="29FB42FB"/>
    <w:rsid w:val="2A4126A5"/>
    <w:rsid w:val="2B454D70"/>
    <w:rsid w:val="2D2020B0"/>
    <w:rsid w:val="2DB7D95C"/>
    <w:rsid w:val="2F44127F"/>
    <w:rsid w:val="2F675A8F"/>
    <w:rsid w:val="2F745341"/>
    <w:rsid w:val="2FCE6E6C"/>
    <w:rsid w:val="2FEE2E37"/>
    <w:rsid w:val="2FF45BDD"/>
    <w:rsid w:val="2FFF563A"/>
    <w:rsid w:val="30C461D8"/>
    <w:rsid w:val="30FF70B3"/>
    <w:rsid w:val="31A3199E"/>
    <w:rsid w:val="31A94F74"/>
    <w:rsid w:val="31AA3F34"/>
    <w:rsid w:val="32F74EF7"/>
    <w:rsid w:val="3328760B"/>
    <w:rsid w:val="336C590E"/>
    <w:rsid w:val="346C0FD9"/>
    <w:rsid w:val="35D3FFB2"/>
    <w:rsid w:val="36720604"/>
    <w:rsid w:val="368E4208"/>
    <w:rsid w:val="37C277A3"/>
    <w:rsid w:val="37DEBC9A"/>
    <w:rsid w:val="38EA4CE8"/>
    <w:rsid w:val="39374412"/>
    <w:rsid w:val="3A144E15"/>
    <w:rsid w:val="3AF86E26"/>
    <w:rsid w:val="3B0D0800"/>
    <w:rsid w:val="3CCD5598"/>
    <w:rsid w:val="3CE6647D"/>
    <w:rsid w:val="3DFF63A2"/>
    <w:rsid w:val="3E6E73FF"/>
    <w:rsid w:val="3F27064B"/>
    <w:rsid w:val="401E4CE4"/>
    <w:rsid w:val="40694E89"/>
    <w:rsid w:val="4071391F"/>
    <w:rsid w:val="41A47C6E"/>
    <w:rsid w:val="44910825"/>
    <w:rsid w:val="47FF34DF"/>
    <w:rsid w:val="48652C09"/>
    <w:rsid w:val="4981448B"/>
    <w:rsid w:val="49C54BA8"/>
    <w:rsid w:val="4A8D3C74"/>
    <w:rsid w:val="4B835937"/>
    <w:rsid w:val="4BEFF737"/>
    <w:rsid w:val="4D2B50E5"/>
    <w:rsid w:val="4D2C4943"/>
    <w:rsid w:val="4E296E9F"/>
    <w:rsid w:val="4E826012"/>
    <w:rsid w:val="4F0C4518"/>
    <w:rsid w:val="500672A0"/>
    <w:rsid w:val="50214845"/>
    <w:rsid w:val="5060511C"/>
    <w:rsid w:val="50A03429"/>
    <w:rsid w:val="50C04553"/>
    <w:rsid w:val="51882935"/>
    <w:rsid w:val="53144D4E"/>
    <w:rsid w:val="539D7ED1"/>
    <w:rsid w:val="543A7459"/>
    <w:rsid w:val="54F01AA5"/>
    <w:rsid w:val="558A0B6B"/>
    <w:rsid w:val="567D58F9"/>
    <w:rsid w:val="568D3EE7"/>
    <w:rsid w:val="56985888"/>
    <w:rsid w:val="57FF7B68"/>
    <w:rsid w:val="58935F89"/>
    <w:rsid w:val="59D94E3D"/>
    <w:rsid w:val="59FF827B"/>
    <w:rsid w:val="5AD661B8"/>
    <w:rsid w:val="5AFBA92F"/>
    <w:rsid w:val="5E1E4379"/>
    <w:rsid w:val="5ED446D2"/>
    <w:rsid w:val="5FAA6092"/>
    <w:rsid w:val="5FAC088B"/>
    <w:rsid w:val="5FFBCBEC"/>
    <w:rsid w:val="60D64C64"/>
    <w:rsid w:val="619422C5"/>
    <w:rsid w:val="63920BBA"/>
    <w:rsid w:val="63BF615E"/>
    <w:rsid w:val="652B7762"/>
    <w:rsid w:val="653308D7"/>
    <w:rsid w:val="65F8567D"/>
    <w:rsid w:val="663761A5"/>
    <w:rsid w:val="66994889"/>
    <w:rsid w:val="6712276E"/>
    <w:rsid w:val="689C2C37"/>
    <w:rsid w:val="68B447F0"/>
    <w:rsid w:val="68BC56B8"/>
    <w:rsid w:val="6905258B"/>
    <w:rsid w:val="69B9558C"/>
    <w:rsid w:val="69D828A0"/>
    <w:rsid w:val="6AAD14B1"/>
    <w:rsid w:val="6B1E7854"/>
    <w:rsid w:val="6B366EA6"/>
    <w:rsid w:val="6B611A86"/>
    <w:rsid w:val="6BC71D79"/>
    <w:rsid w:val="6BDF6C39"/>
    <w:rsid w:val="6BE50C78"/>
    <w:rsid w:val="6C9157A2"/>
    <w:rsid w:val="6D1E795B"/>
    <w:rsid w:val="6D826CE3"/>
    <w:rsid w:val="6DEB6057"/>
    <w:rsid w:val="6E6E7120"/>
    <w:rsid w:val="6F345978"/>
    <w:rsid w:val="6F520A4B"/>
    <w:rsid w:val="6F9C0129"/>
    <w:rsid w:val="6FAF5F5A"/>
    <w:rsid w:val="716F2997"/>
    <w:rsid w:val="717B2EB7"/>
    <w:rsid w:val="721F1C3C"/>
    <w:rsid w:val="722872EA"/>
    <w:rsid w:val="726C5429"/>
    <w:rsid w:val="727613FD"/>
    <w:rsid w:val="727F1298"/>
    <w:rsid w:val="72B93049"/>
    <w:rsid w:val="72F18A40"/>
    <w:rsid w:val="73260EE7"/>
    <w:rsid w:val="73882459"/>
    <w:rsid w:val="73A40C54"/>
    <w:rsid w:val="73E55545"/>
    <w:rsid w:val="74B7F567"/>
    <w:rsid w:val="74B92C45"/>
    <w:rsid w:val="75BA138B"/>
    <w:rsid w:val="76470C3F"/>
    <w:rsid w:val="76522B87"/>
    <w:rsid w:val="77784870"/>
    <w:rsid w:val="77BD3CC0"/>
    <w:rsid w:val="78777D61"/>
    <w:rsid w:val="78BA3284"/>
    <w:rsid w:val="792867D2"/>
    <w:rsid w:val="79C643F3"/>
    <w:rsid w:val="7AB60FB7"/>
    <w:rsid w:val="7AEF5580"/>
    <w:rsid w:val="7AFD90E8"/>
    <w:rsid w:val="7B6F7DB9"/>
    <w:rsid w:val="7BAF7A3C"/>
    <w:rsid w:val="7BCEC492"/>
    <w:rsid w:val="7CF9043C"/>
    <w:rsid w:val="7D2BC023"/>
    <w:rsid w:val="7D3E3E78"/>
    <w:rsid w:val="7D8E26F7"/>
    <w:rsid w:val="7DFF6CB1"/>
    <w:rsid w:val="7E9006F1"/>
    <w:rsid w:val="7F7A0533"/>
    <w:rsid w:val="7F811C74"/>
    <w:rsid w:val="7FC54214"/>
    <w:rsid w:val="7FCF32AE"/>
    <w:rsid w:val="7FF78990"/>
    <w:rsid w:val="7FFF24BA"/>
    <w:rsid w:val="AECEA49A"/>
    <w:rsid w:val="B3DFD64E"/>
    <w:rsid w:val="B3F5C9D0"/>
    <w:rsid w:val="B7F6C0DC"/>
    <w:rsid w:val="BA57349F"/>
    <w:rsid w:val="BCBBE828"/>
    <w:rsid w:val="BDF74A91"/>
    <w:rsid w:val="BF9B5DC7"/>
    <w:rsid w:val="BFEF3A3A"/>
    <w:rsid w:val="BFFFA099"/>
    <w:rsid w:val="D5786AAE"/>
    <w:rsid w:val="D6F3A8B0"/>
    <w:rsid w:val="D76F6E7D"/>
    <w:rsid w:val="D775AF7B"/>
    <w:rsid w:val="DDAD40B3"/>
    <w:rsid w:val="DFF74268"/>
    <w:rsid w:val="E35AABD7"/>
    <w:rsid w:val="E71F139A"/>
    <w:rsid w:val="ECEEFAC5"/>
    <w:rsid w:val="EEA791E7"/>
    <w:rsid w:val="EF8DA1B9"/>
    <w:rsid w:val="EFA0564B"/>
    <w:rsid w:val="EFB5F01C"/>
    <w:rsid w:val="EFDD4849"/>
    <w:rsid w:val="F1D1C187"/>
    <w:rsid w:val="F2D71067"/>
    <w:rsid w:val="F3F7467D"/>
    <w:rsid w:val="F6F90AFA"/>
    <w:rsid w:val="F7FD1145"/>
    <w:rsid w:val="FAF7D128"/>
    <w:rsid w:val="FBFAE1AB"/>
    <w:rsid w:val="FBFDADB2"/>
    <w:rsid w:val="FD7BE576"/>
    <w:rsid w:val="FDD7EC92"/>
    <w:rsid w:val="FF57E21C"/>
    <w:rsid w:val="FF77F17B"/>
    <w:rsid w:val="FF7BB17A"/>
    <w:rsid w:val="FFB90A14"/>
    <w:rsid w:val="FFDB32B8"/>
    <w:rsid w:val="FFEF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uiPriority w:val="0"/>
    <w:pPr>
      <w:keepNext/>
      <w:keepLines/>
      <w:spacing w:line="300" w:lineRule="auto"/>
      <w:ind w:firstLine="1446" w:firstLineChars="200"/>
      <w:outlineLvl w:val="1"/>
    </w:pPr>
    <w:rPr>
      <w:rFonts w:ascii="Calibri Light" w:hAnsi="Calibri Light" w:eastAsia="方正小标宋简体"/>
      <w:b/>
      <w:bCs/>
      <w:sz w:val="28"/>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unhideWhenUsed/>
    <w:qFormat/>
    <w:uiPriority w:val="99"/>
    <w:pPr>
      <w:jc w:val="left"/>
    </w:pPr>
  </w:style>
  <w:style w:type="paragraph" w:styleId="4">
    <w:name w:val="Body Text"/>
    <w:basedOn w:val="1"/>
    <w:autoRedefine/>
    <w:unhideWhenUsed/>
    <w:qFormat/>
    <w:uiPriority w:val="99"/>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autoRedefine/>
    <w:semiHidden/>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paragraph" w:customStyle="1" w:styleId="13">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彩色列表 - 着色 11"/>
    <w:basedOn w:val="1"/>
    <w:autoRedefine/>
    <w:qFormat/>
    <w:uiPriority w:val="34"/>
    <w:pPr>
      <w:spacing w:line="440" w:lineRule="exact"/>
      <w:ind w:firstLine="420" w:firstLineChars="200"/>
    </w:pPr>
    <w:rPr>
      <w:rFonts w:ascii="Arial" w:hAnsi="Arial"/>
      <w:szCs w:val="24"/>
    </w:rPr>
  </w:style>
  <w:style w:type="character" w:customStyle="1" w:styleId="15">
    <w:name w:val="页眉 字符"/>
    <w:basedOn w:val="11"/>
    <w:link w:val="7"/>
    <w:autoRedefine/>
    <w:qFormat/>
    <w:uiPriority w:val="99"/>
    <w:rPr>
      <w:rFonts w:ascii="Calibri" w:hAnsi="Calibri" w:eastAsia="宋体" w:cs="Times New Roman"/>
      <w:sz w:val="18"/>
      <w:szCs w:val="18"/>
    </w:rPr>
  </w:style>
  <w:style w:type="character" w:customStyle="1" w:styleId="16">
    <w:name w:val="页脚 字符"/>
    <w:basedOn w:val="11"/>
    <w:link w:val="6"/>
    <w:autoRedefine/>
    <w:qFormat/>
    <w:uiPriority w:val="99"/>
    <w:rPr>
      <w:rFonts w:ascii="Calibri" w:hAnsi="Calibri" w:eastAsia="宋体" w:cs="Times New Roman"/>
      <w:sz w:val="18"/>
      <w:szCs w:val="18"/>
    </w:rPr>
  </w:style>
  <w:style w:type="character" w:customStyle="1" w:styleId="17">
    <w:name w:val="批注框文本 字符"/>
    <w:basedOn w:val="11"/>
    <w:link w:val="5"/>
    <w:autoRedefine/>
    <w:semiHidden/>
    <w:qFormat/>
    <w:uiPriority w:val="99"/>
    <w:rPr>
      <w:rFonts w:ascii="Calibri" w:hAnsi="Calibri" w:eastAsia="宋体" w:cs="Times New Roman"/>
      <w:sz w:val="18"/>
      <w:szCs w:val="18"/>
    </w:rPr>
  </w:style>
  <w:style w:type="character" w:customStyle="1" w:styleId="18">
    <w:name w:val="批注文字 字符"/>
    <w:basedOn w:val="11"/>
    <w:link w:val="3"/>
    <w:autoRedefine/>
    <w:qFormat/>
    <w:uiPriority w:val="99"/>
    <w:rPr>
      <w:rFonts w:ascii="Calibri" w:hAnsi="Calibri" w:eastAsia="宋体" w:cs="Times New Roman"/>
    </w:rPr>
  </w:style>
  <w:style w:type="character" w:customStyle="1" w:styleId="19">
    <w:name w:val="批注主题 字符"/>
    <w:basedOn w:val="18"/>
    <w:link w:val="8"/>
    <w:autoRedefine/>
    <w:semiHidden/>
    <w:qFormat/>
    <w:uiPriority w:val="99"/>
    <w:rPr>
      <w:rFonts w:ascii="Calibri" w:hAnsi="Calibri" w:eastAsia="宋体" w:cs="Times New Roman"/>
      <w:b/>
      <w:bCs/>
    </w:rPr>
  </w:style>
  <w:style w:type="paragraph" w:styleId="20">
    <w:name w:val="List Paragraph"/>
    <w:basedOn w:val="1"/>
    <w:autoRedefine/>
    <w:qFormat/>
    <w:uiPriority w:val="34"/>
    <w:pPr>
      <w:ind w:firstLine="420" w:firstLineChars="200"/>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2">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3434</Words>
  <Characters>3489</Characters>
  <Lines>32</Lines>
  <Paragraphs>9</Paragraphs>
  <TotalTime>2</TotalTime>
  <ScaleCrop>false</ScaleCrop>
  <LinksUpToDate>false</LinksUpToDate>
  <CharactersWithSpaces>3500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2018-05-03T19:09:00Z</dcterms:created>
  <dc:creator>Johnosn</dc:creator>
  <cp:lastModifiedBy>CHEN</cp:lastModifiedBy>
  <cp:lastPrinted>2018-03-09T02:45:00Z</cp:lastPrinted>
  <dcterms:modified xsi:type="dcterms:W3CDTF">2024-03-20T07:21:34Z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0EE774B48D6B406192A3E72FCA0176BE_13</vt:lpwstr>
  </property>
</Properties>
</file>